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439016" w14:textId="77777777" w:rsidR="00461B41" w:rsidRPr="00461B41" w:rsidRDefault="00461B41" w:rsidP="006B60BB">
      <w:pPr>
        <w:widowControl/>
        <w:adjustRightInd w:val="0"/>
        <w:snapToGrid w:val="0"/>
        <w:spacing w:line="480" w:lineRule="auto"/>
        <w:ind w:firstLineChars="0" w:firstLine="0"/>
        <w:rPr>
          <w:rFonts w:eastAsia="宋体" w:cs="Times New Roman"/>
          <w:b/>
          <w:snapToGrid w:val="0"/>
          <w:color w:val="000000"/>
          <w:kern w:val="0"/>
          <w:sz w:val="22"/>
          <w:szCs w:val="22"/>
          <w:lang w:bidi="en-US"/>
        </w:rPr>
      </w:pPr>
      <w:r w:rsidRPr="00461B41">
        <w:rPr>
          <w:rFonts w:eastAsia="宋体" w:cs="Times New Roman"/>
          <w:b/>
          <w:snapToGrid w:val="0"/>
          <w:color w:val="000000"/>
          <w:kern w:val="0"/>
          <w:sz w:val="22"/>
          <w:szCs w:val="22"/>
          <w:lang w:bidi="en-US"/>
        </w:rPr>
        <w:t>Supporting information</w:t>
      </w:r>
    </w:p>
    <w:p w14:paraId="63ABF3C4" w14:textId="7E478410" w:rsidR="00461B41" w:rsidRPr="00461B41" w:rsidRDefault="009D1E9F" w:rsidP="001F2F5C">
      <w:pPr>
        <w:widowControl/>
        <w:adjustRightInd w:val="0"/>
        <w:snapToGrid w:val="0"/>
        <w:spacing w:line="480" w:lineRule="auto"/>
        <w:ind w:firstLineChars="0" w:firstLine="0"/>
        <w:rPr>
          <w:rFonts w:eastAsia="Times New Roman" w:cs="Times New Roman"/>
          <w:snapToGrid w:val="0"/>
          <w:color w:val="000000"/>
          <w:kern w:val="0"/>
          <w:lang w:eastAsia="de-DE" w:bidi="en-US"/>
        </w:rPr>
      </w:pPr>
      <w:r w:rsidRPr="00761F85">
        <w:rPr>
          <w:rFonts w:eastAsia="仿宋"/>
          <w:b/>
        </w:rPr>
        <w:t xml:space="preserve">Supplementary </w:t>
      </w:r>
      <w:r w:rsidR="00461B41" w:rsidRPr="00461B41">
        <w:rPr>
          <w:rFonts w:eastAsia="Times New Roman" w:cs="Times New Roman"/>
          <w:b/>
          <w:snapToGrid w:val="0"/>
          <w:color w:val="000000"/>
          <w:kern w:val="0"/>
          <w:lang w:eastAsia="de-DE" w:bidi="en-US"/>
        </w:rPr>
        <w:t xml:space="preserve">Table 1. </w:t>
      </w:r>
      <w:r w:rsidR="00461B41" w:rsidRPr="009D1E9F">
        <w:rPr>
          <w:rFonts w:eastAsia="Times New Roman" w:cs="Times New Roman"/>
          <w:b/>
          <w:bCs/>
          <w:snapToGrid w:val="0"/>
          <w:color w:val="000000"/>
          <w:kern w:val="0"/>
          <w:lang w:eastAsia="de-DE" w:bidi="en-US"/>
        </w:rPr>
        <w:t>Parameter setting of Ultra performance liquid chromatography-Quadrupole-</w:t>
      </w:r>
      <w:proofErr w:type="spellStart"/>
      <w:r w:rsidR="00461B41" w:rsidRPr="009D1E9F">
        <w:rPr>
          <w:rFonts w:eastAsia="Times New Roman" w:cs="Times New Roman"/>
          <w:b/>
          <w:bCs/>
          <w:snapToGrid w:val="0"/>
          <w:color w:val="000000"/>
          <w:kern w:val="0"/>
          <w:lang w:eastAsia="de-DE" w:bidi="en-US"/>
        </w:rPr>
        <w:t>Exactive</w:t>
      </w:r>
      <w:proofErr w:type="spellEnd"/>
      <w:r w:rsidR="00461B41" w:rsidRPr="009D1E9F">
        <w:rPr>
          <w:rFonts w:eastAsia="Times New Roman" w:cs="Times New Roman"/>
          <w:b/>
          <w:bCs/>
          <w:snapToGrid w:val="0"/>
          <w:color w:val="000000"/>
          <w:kern w:val="0"/>
          <w:lang w:eastAsia="de-DE" w:bidi="en-US"/>
        </w:rPr>
        <w:t xml:space="preserve"> mass spectrometry (UPLC-Q-</w:t>
      </w:r>
      <w:proofErr w:type="spellStart"/>
      <w:r w:rsidR="00461B41" w:rsidRPr="009D1E9F">
        <w:rPr>
          <w:rFonts w:eastAsia="Times New Roman" w:cs="Times New Roman"/>
          <w:b/>
          <w:bCs/>
          <w:snapToGrid w:val="0"/>
          <w:color w:val="000000"/>
          <w:kern w:val="0"/>
          <w:lang w:eastAsia="de-DE" w:bidi="en-US"/>
        </w:rPr>
        <w:t>Exactive</w:t>
      </w:r>
      <w:proofErr w:type="spellEnd"/>
      <w:r w:rsidR="00461B41" w:rsidRPr="009D1E9F">
        <w:rPr>
          <w:rFonts w:eastAsia="Times New Roman" w:cs="Times New Roman"/>
          <w:b/>
          <w:bCs/>
          <w:snapToGrid w:val="0"/>
          <w:color w:val="000000"/>
          <w:kern w:val="0"/>
          <w:lang w:eastAsia="de-DE" w:bidi="en-US"/>
        </w:rPr>
        <w:t xml:space="preserve"> MS) analysis.</w:t>
      </w:r>
    </w:p>
    <w:tbl>
      <w:tblPr>
        <w:tblStyle w:val="TableGrid1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00"/>
        <w:gridCol w:w="8309"/>
      </w:tblGrid>
      <w:tr w:rsidR="00461B41" w:rsidRPr="00461B41" w14:paraId="03DCE7AD" w14:textId="77777777" w:rsidTr="00461B41"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6B38B9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rPr>
                <w:rFonts w:ascii="Times New Roman" w:eastAsia="Times New Roman" w:hAnsi="Times New Roman"/>
                <w:b/>
                <w:bCs/>
                <w:snapToGrid w:val="0"/>
                <w:sz w:val="21"/>
                <w:szCs w:val="21"/>
                <w:lang w:eastAsia="de-DE" w:bidi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0FEA3C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rPr>
                <w:rFonts w:ascii="Times New Roman" w:eastAsia="DengXian" w:hAnsi="Times New Roman"/>
                <w:b/>
                <w:bCs/>
                <w:snapToGrid w:val="0"/>
                <w:sz w:val="21"/>
                <w:szCs w:val="21"/>
                <w:lang w:bidi="en-US"/>
              </w:rPr>
            </w:pPr>
            <w:r w:rsidRPr="00461B41">
              <w:rPr>
                <w:rFonts w:ascii="Times New Roman" w:eastAsia="DengXian" w:hAnsi="Times New Roman"/>
                <w:b/>
                <w:bCs/>
                <w:snapToGrid w:val="0"/>
                <w:sz w:val="21"/>
                <w:szCs w:val="21"/>
                <w:lang w:bidi="en-US"/>
              </w:rPr>
              <w:t>Parameter settings</w:t>
            </w:r>
          </w:p>
        </w:tc>
      </w:tr>
      <w:tr w:rsidR="00461B41" w:rsidRPr="00461B41" w14:paraId="4B1B1977" w14:textId="77777777" w:rsidTr="00461B41"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CB0930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rPr>
                <w:rFonts w:ascii="Times New Roman" w:eastAsia="Times New Roman" w:hAnsi="Times New Roman"/>
                <w:b/>
                <w:bCs/>
                <w:snapToGrid w:val="0"/>
                <w:sz w:val="21"/>
                <w:szCs w:val="21"/>
                <w:lang w:eastAsia="de-DE" w:bidi="en-US"/>
              </w:rPr>
            </w:pPr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>Liquid chromatography analysis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D05D38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</w:pPr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>An ACQUITY UPLC</w:t>
            </w:r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vertAlign w:val="superscript"/>
                <w:lang w:eastAsia="de-DE" w:bidi="en-US"/>
              </w:rPr>
              <w:t>®</w:t>
            </w:r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 xml:space="preserve"> HSS T3 column (2.1 × 100 mm, 1.8 µm) (Waters, Milford, MA, USA) maintained at 40°C; flow rate: 0.3 mL/min; injection volume: 2 </w:t>
            </w:r>
            <w:proofErr w:type="spellStart"/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>μL</w:t>
            </w:r>
            <w:proofErr w:type="spellEnd"/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 xml:space="preserve">. </w:t>
            </w:r>
          </w:p>
          <w:p w14:paraId="538FD2C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</w:pPr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>For LC-</w:t>
            </w:r>
            <w:proofErr w:type="gramStart"/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>ESI(</w:t>
            </w:r>
            <w:proofErr w:type="gramEnd"/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>+)-MS analysis, the mobile phases consisted of (B2) 0.1% formic acid in acetonitrile (</w:t>
            </w:r>
            <w:r w:rsidRPr="00461B41">
              <w:rPr>
                <w:rFonts w:ascii="Times New Roman" w:eastAsia="Times New Roman" w:hAnsi="Times New Roman"/>
                <w:i/>
                <w:snapToGrid w:val="0"/>
                <w:sz w:val="21"/>
                <w:szCs w:val="21"/>
                <w:lang w:eastAsia="de-DE" w:bidi="en-US"/>
              </w:rPr>
              <w:t>v/v</w:t>
            </w:r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>) and (A2) 0.1% formic acid in water (</w:t>
            </w:r>
            <w:r w:rsidRPr="00461B41">
              <w:rPr>
                <w:rFonts w:ascii="Times New Roman" w:eastAsia="Times New Roman" w:hAnsi="Times New Roman"/>
                <w:i/>
                <w:snapToGrid w:val="0"/>
                <w:sz w:val="21"/>
                <w:szCs w:val="21"/>
                <w:lang w:eastAsia="de-DE" w:bidi="en-US"/>
              </w:rPr>
              <w:t>v/v</w:t>
            </w:r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 xml:space="preserve">). Separation was conducted under the following gradient: 0~1 min, 8% B2; 1~8 min, 8%~98% B2; 8~10 min, 98% B2; 10~10.1 min, 98%~8% B2; 10.1~12 min, 8% B2. </w:t>
            </w:r>
          </w:p>
          <w:p w14:paraId="4F96111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rPr>
                <w:rFonts w:ascii="Times New Roman" w:eastAsia="Times New Roman" w:hAnsi="Times New Roman"/>
                <w:b/>
                <w:bCs/>
                <w:snapToGrid w:val="0"/>
                <w:sz w:val="21"/>
                <w:szCs w:val="21"/>
                <w:lang w:eastAsia="de-DE" w:bidi="en-US"/>
              </w:rPr>
            </w:pPr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>For LC-</w:t>
            </w:r>
            <w:proofErr w:type="gramStart"/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>ESI(</w:t>
            </w:r>
            <w:proofErr w:type="gramEnd"/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 xml:space="preserve">-)-MS analysis, the analytes were carried out with (B3) acetonitrile and (A3) ammonium </w:t>
            </w:r>
            <w:proofErr w:type="spellStart"/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>formate</w:t>
            </w:r>
            <w:proofErr w:type="spellEnd"/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 xml:space="preserve"> (5 mM). Separation was conducted under the following gradient: 0~1 min, 8% B3; 1~8 min, 8%~98% B3; 8~10 min, 98% B3; 10~10.1 min, 98%~8% B3; 10.1~12 min, 8% B3.</w:t>
            </w:r>
          </w:p>
        </w:tc>
      </w:tr>
      <w:tr w:rsidR="00461B41" w:rsidRPr="00461B41" w14:paraId="68DBE0CC" w14:textId="77777777" w:rsidTr="00461B41"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9ACD03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rPr>
                <w:rFonts w:ascii="Times New Roman" w:eastAsia="Times New Roman" w:hAnsi="Times New Roman"/>
                <w:b/>
                <w:bCs/>
                <w:snapToGrid w:val="0"/>
                <w:sz w:val="21"/>
                <w:szCs w:val="21"/>
                <w:lang w:eastAsia="de-DE" w:bidi="en-US"/>
              </w:rPr>
            </w:pPr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>Mass spectrometric detection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5BC634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</w:pPr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>Simultaneous MS1 and MS/MS (Full MS-ddMS2 mode, data-dependent MS/MS) acquisition was used.</w:t>
            </w:r>
          </w:p>
          <w:p w14:paraId="4738CB4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rPr>
                <w:rFonts w:ascii="Times New Roman" w:eastAsia="Times New Roman" w:hAnsi="Times New Roman"/>
                <w:b/>
                <w:bCs/>
                <w:snapToGrid w:val="0"/>
                <w:sz w:val="21"/>
                <w:szCs w:val="21"/>
                <w:lang w:eastAsia="de-DE" w:bidi="en-US"/>
              </w:rPr>
            </w:pPr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 xml:space="preserve">Sheath gas pressure, 40 arb; aux gas flow, 10 arb; spray voltage, 3.50 kV and -2.50 kV for </w:t>
            </w:r>
            <w:proofErr w:type="gramStart"/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>ESI(</w:t>
            </w:r>
            <w:proofErr w:type="gramEnd"/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>+) and ESI(-), respectively; capillary temperature, 325°C; MS1 range,</w:t>
            </w:r>
            <w:r w:rsidRPr="00461B41">
              <w:rPr>
                <w:rFonts w:ascii="Times New Roman" w:eastAsia="Times New Roman" w:hAnsi="Times New Roman"/>
                <w:i/>
                <w:snapToGrid w:val="0"/>
                <w:sz w:val="21"/>
                <w:szCs w:val="21"/>
                <w:lang w:eastAsia="de-DE" w:bidi="en-US"/>
              </w:rPr>
              <w:t xml:space="preserve"> m/z</w:t>
            </w:r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 xml:space="preserve"> 100-1000; MS1 resolving power, 70,000 FWHM; number of data-</w:t>
            </w:r>
            <w:proofErr w:type="spellStart"/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>dependant</w:t>
            </w:r>
            <w:proofErr w:type="spellEnd"/>
            <w:r w:rsidRPr="00461B41">
              <w:rPr>
                <w:rFonts w:ascii="Times New Roman" w:eastAsia="Times New Roman" w:hAnsi="Times New Roman"/>
                <w:snapToGrid w:val="0"/>
                <w:sz w:val="21"/>
                <w:szCs w:val="21"/>
                <w:lang w:eastAsia="de-DE" w:bidi="en-US"/>
              </w:rPr>
              <w:t xml:space="preserve"> scans per cycle, 3; MS/MS resolving power, 17,500 FWHM; normalized collision energy, 30 eV; dynamic exclusion time, automatic.</w:t>
            </w:r>
          </w:p>
        </w:tc>
      </w:tr>
    </w:tbl>
    <w:p w14:paraId="564BE92B" w14:textId="77777777" w:rsidR="00461B41" w:rsidRDefault="00461B41" w:rsidP="00461B41">
      <w:pPr>
        <w:adjustRightInd w:val="0"/>
        <w:snapToGrid w:val="0"/>
        <w:ind w:firstLineChars="0" w:firstLine="0"/>
        <w:jc w:val="left"/>
        <w:rPr>
          <w:rFonts w:eastAsia="宋体" w:cs="Times New Roman"/>
        </w:rPr>
      </w:pPr>
    </w:p>
    <w:p w14:paraId="31F47160" w14:textId="77777777" w:rsidR="001F2F5C" w:rsidRPr="00461B41" w:rsidRDefault="001F2F5C" w:rsidP="00461B41">
      <w:pPr>
        <w:adjustRightInd w:val="0"/>
        <w:snapToGrid w:val="0"/>
        <w:ind w:firstLineChars="0" w:firstLine="0"/>
        <w:jc w:val="left"/>
        <w:rPr>
          <w:rFonts w:eastAsia="宋体" w:cs="Times New Roman"/>
        </w:rPr>
      </w:pPr>
    </w:p>
    <w:p w14:paraId="393D0883" w14:textId="468E8AF7" w:rsidR="00461B41" w:rsidRPr="009D1E9F" w:rsidRDefault="009D1E9F" w:rsidP="00461B41">
      <w:pPr>
        <w:adjustRightInd w:val="0"/>
        <w:snapToGrid w:val="0"/>
        <w:spacing w:line="480" w:lineRule="auto"/>
        <w:ind w:firstLineChars="0" w:firstLine="0"/>
        <w:rPr>
          <w:rFonts w:eastAsia="宋体" w:cs="Times New Roman"/>
          <w:b/>
          <w:bCs/>
          <w:iCs/>
          <w:color w:val="000000"/>
        </w:rPr>
      </w:pPr>
      <w:r w:rsidRPr="00761F85">
        <w:rPr>
          <w:rFonts w:eastAsia="仿宋"/>
          <w:b/>
        </w:rPr>
        <w:t xml:space="preserve">Supplementary </w:t>
      </w:r>
      <w:r w:rsidR="00461B41" w:rsidRPr="00461B41">
        <w:rPr>
          <w:rFonts w:eastAsia="宋体" w:cs="Times New Roman"/>
          <w:b/>
          <w:color w:val="000000"/>
        </w:rPr>
        <w:t>Table 2.</w:t>
      </w:r>
      <w:r w:rsidR="00461B41" w:rsidRPr="00461B41">
        <w:rPr>
          <w:rFonts w:eastAsia="宋体" w:cs="Times New Roman"/>
          <w:color w:val="000000"/>
        </w:rPr>
        <w:t xml:space="preserve"> </w:t>
      </w:r>
      <w:r w:rsidR="00461B41" w:rsidRPr="009D1E9F">
        <w:rPr>
          <w:rFonts w:eastAsia="宋体" w:cs="Times New Roman"/>
          <w:b/>
          <w:bCs/>
          <w:iCs/>
          <w:color w:val="000000"/>
        </w:rPr>
        <w:t>UPLC-MS conditions for serum metabolomic profiling.</w:t>
      </w:r>
    </w:p>
    <w:tbl>
      <w:tblPr>
        <w:tblStyle w:val="TableGrid11"/>
        <w:tblW w:w="0" w:type="auto"/>
        <w:tblInd w:w="0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52"/>
        <w:gridCol w:w="8552"/>
      </w:tblGrid>
      <w:tr w:rsidR="00461B41" w:rsidRPr="00461B41" w14:paraId="0947E63A" w14:textId="77777777" w:rsidTr="00461B41"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0893E6D" w14:textId="77777777" w:rsidR="00461B41" w:rsidRPr="00461B41" w:rsidRDefault="00461B41" w:rsidP="00461B41">
            <w:pPr>
              <w:adjustRightInd w:val="0"/>
              <w:snapToGrid w:val="0"/>
              <w:ind w:firstLineChars="0" w:firstLine="0"/>
              <w:rPr>
                <w:rFonts w:ascii="Times New Roman" w:eastAsia="宋体" w:hAnsi="Times New Roman"/>
                <w:b/>
                <w:bCs/>
                <w:color w:val="000000"/>
                <w:sz w:val="21"/>
                <w:szCs w:val="21"/>
                <w:lang w:bidi="en-US"/>
              </w:rPr>
            </w:pPr>
            <w:r w:rsidRPr="00461B41">
              <w:rPr>
                <w:rFonts w:ascii="Times New Roman" w:eastAsia="宋体" w:hAnsi="Times New Roman"/>
                <w:b/>
                <w:iCs/>
                <w:color w:val="000000"/>
                <w:sz w:val="21"/>
                <w:szCs w:val="21"/>
              </w:rPr>
              <w:t>UPLC-MS Conditions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C2CAF24" w14:textId="77777777" w:rsidR="00461B41" w:rsidRPr="00461B41" w:rsidRDefault="00461B41" w:rsidP="00461B41">
            <w:pPr>
              <w:adjustRightInd w:val="0"/>
              <w:snapToGrid w:val="0"/>
              <w:ind w:firstLineChars="0" w:firstLine="0"/>
              <w:rPr>
                <w:rFonts w:ascii="Times New Roman" w:eastAsia="宋体" w:hAnsi="Times New Roman"/>
                <w:b/>
                <w:bCs/>
                <w:color w:val="000000"/>
                <w:sz w:val="21"/>
                <w:szCs w:val="21"/>
                <w:lang w:bidi="en-US"/>
              </w:rPr>
            </w:pPr>
            <w:r w:rsidRPr="00461B41">
              <w:rPr>
                <w:rFonts w:ascii="Times New Roman" w:eastAsia="宋体" w:hAnsi="Times New Roman"/>
                <w:b/>
                <w:bCs/>
                <w:color w:val="000000"/>
                <w:sz w:val="21"/>
                <w:szCs w:val="21"/>
                <w:lang w:bidi="en-US"/>
              </w:rPr>
              <w:t>Parameter settings</w:t>
            </w:r>
          </w:p>
        </w:tc>
      </w:tr>
      <w:tr w:rsidR="00461B41" w:rsidRPr="00461B41" w14:paraId="5F28D9F4" w14:textId="77777777" w:rsidTr="00461B41"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657F326" w14:textId="77777777" w:rsidR="00461B41" w:rsidRPr="00461B41" w:rsidRDefault="00461B41" w:rsidP="00461B41">
            <w:pPr>
              <w:adjustRightInd w:val="0"/>
              <w:snapToGrid w:val="0"/>
              <w:ind w:firstLineChars="0" w:firstLine="0"/>
              <w:rPr>
                <w:rFonts w:ascii="Times New Roman" w:eastAsia="宋体" w:hAnsi="Times New Roman"/>
                <w:b/>
                <w:bCs/>
                <w:color w:val="000000"/>
                <w:sz w:val="21"/>
                <w:szCs w:val="21"/>
                <w:lang w:bidi="en-US"/>
              </w:rPr>
            </w:pP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lang w:bidi="ar"/>
              </w:rPr>
              <w:t>UPLC conditions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717B580" w14:textId="77777777" w:rsidR="00461B41" w:rsidRPr="00461B41" w:rsidRDefault="00461B41" w:rsidP="00461B41">
            <w:pPr>
              <w:adjustRightInd w:val="0"/>
              <w:snapToGrid w:val="0"/>
              <w:ind w:firstLineChars="0" w:firstLine="0"/>
              <w:rPr>
                <w:rFonts w:ascii="Times New Roman" w:eastAsia="宋体" w:hAnsi="Times New Roman"/>
                <w:color w:val="000000"/>
                <w:sz w:val="21"/>
                <w:szCs w:val="21"/>
              </w:rPr>
            </w:pP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</w:rPr>
              <w:t xml:space="preserve">Samples were chromatographically separated on an </w:t>
            </w:r>
            <w:proofErr w:type="spellStart"/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shd w:val="clear" w:color="auto" w:fill="FFFFFF"/>
              </w:rPr>
              <w:t>Acquity</w:t>
            </w:r>
            <w:proofErr w:type="spellEnd"/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shd w:val="clear" w:color="auto" w:fill="FFFFFF"/>
              </w:rPr>
              <w:t xml:space="preserve"> UPLC HSS T3</w:t>
            </w: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</w:rPr>
              <w:t xml:space="preserve">-C18 column (Waters Corp., Shanghai, China; 100 mm × 2.1 mm, 1.8 </w:t>
            </w:r>
            <w:proofErr w:type="spellStart"/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</w:rPr>
              <w:t>μm</w:t>
            </w:r>
            <w:proofErr w:type="spellEnd"/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</w:rPr>
              <w:t xml:space="preserve">) using an </w:t>
            </w:r>
            <w:proofErr w:type="spellStart"/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shd w:val="clear" w:color="auto" w:fill="FFFFFF"/>
              </w:rPr>
              <w:t>Acquity</w:t>
            </w:r>
            <w:proofErr w:type="spellEnd"/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shd w:val="clear" w:color="auto" w:fill="FFFFFF"/>
              </w:rPr>
              <w:t xml:space="preserve"> I-Class PLUS</w:t>
            </w: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</w:rPr>
              <w:t xml:space="preserve"> instrument (Waters, </w:t>
            </w: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shd w:val="clear" w:color="auto" w:fill="FFFFFF"/>
              </w:rPr>
              <w:t>Milford</w:t>
            </w: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</w:rPr>
              <w:t xml:space="preserve">, MA, USA). </w:t>
            </w:r>
          </w:p>
          <w:p w14:paraId="039AA7ED" w14:textId="77777777" w:rsidR="00461B41" w:rsidRPr="00461B41" w:rsidRDefault="00461B41" w:rsidP="00461B41">
            <w:pPr>
              <w:adjustRightInd w:val="0"/>
              <w:snapToGrid w:val="0"/>
              <w:ind w:firstLineChars="0" w:firstLine="0"/>
              <w:rPr>
                <w:rFonts w:ascii="Times New Roman" w:eastAsia="宋体" w:hAnsi="Times New Roman"/>
                <w:b/>
                <w:bCs/>
                <w:color w:val="000000"/>
                <w:sz w:val="21"/>
                <w:szCs w:val="21"/>
                <w:lang w:bidi="en-US"/>
              </w:rPr>
            </w:pP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lang w:bidi="ar"/>
              </w:rPr>
              <w:t xml:space="preserve">The </w:t>
            </w: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</w:rPr>
              <w:t>optimized</w:t>
            </w: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lang w:bidi="ar"/>
              </w:rPr>
              <w:t xml:space="preserve"> UPLC conditions </w:t>
            </w: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</w:rPr>
              <w:t>included a</w:t>
            </w: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lang w:bidi="ar"/>
              </w:rPr>
              <w:t xml:space="preserve"> flow rate of 0.4 mL/min, injection volume of 1 </w:t>
            </w:r>
            <w:proofErr w:type="spellStart"/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lang w:bidi="ar"/>
              </w:rPr>
              <w:t>μL</w:t>
            </w:r>
            <w:proofErr w:type="spellEnd"/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lang w:bidi="ar"/>
              </w:rPr>
              <w:t xml:space="preserve">, and mobile phase </w:t>
            </w: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</w:rPr>
              <w:t>consisting</w:t>
            </w: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lang w:bidi="ar"/>
              </w:rPr>
              <w:t xml:space="preserve"> of solvents A (0.1% aqueous formic acid solution) and solvent B (0.1% aqueous formic acid solution). The gradient program was as follows: 0.1-0.25 min, 2% B; 0.25-10 min, 2-98% B; 10-13 min, 98% B; 13-13.10 min, 98%-2% B; and 13.10-15.00 min, 2% B.</w:t>
            </w:r>
          </w:p>
        </w:tc>
      </w:tr>
      <w:tr w:rsidR="00461B41" w:rsidRPr="00461B41" w14:paraId="3EF546D7" w14:textId="77777777" w:rsidTr="00461B41"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D3E61F2" w14:textId="77777777" w:rsidR="00461B41" w:rsidRPr="00461B41" w:rsidRDefault="00461B41" w:rsidP="00461B41">
            <w:pPr>
              <w:adjustRightInd w:val="0"/>
              <w:snapToGrid w:val="0"/>
              <w:ind w:firstLineChars="0" w:firstLine="0"/>
              <w:rPr>
                <w:rFonts w:ascii="Times New Roman" w:eastAsia="宋体" w:hAnsi="Times New Roman"/>
                <w:b/>
                <w:bCs/>
                <w:color w:val="000000"/>
                <w:sz w:val="21"/>
                <w:szCs w:val="21"/>
                <w:lang w:bidi="en-US"/>
              </w:rPr>
            </w:pP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lang w:bidi="en-US"/>
              </w:rPr>
              <w:t>Mass spectrometric detection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D4067DE" w14:textId="334121BF" w:rsidR="00461B41" w:rsidRPr="00461B41" w:rsidRDefault="00461B41" w:rsidP="00461B41">
            <w:pPr>
              <w:tabs>
                <w:tab w:val="left" w:pos="3495"/>
              </w:tabs>
              <w:adjustRightInd w:val="0"/>
              <w:snapToGrid w:val="0"/>
              <w:ind w:firstLineChars="0" w:firstLine="0"/>
              <w:rPr>
                <w:rFonts w:ascii="Times New Roman" w:eastAsia="宋体" w:hAnsi="Times New Roman"/>
                <w:color w:val="000000"/>
                <w:sz w:val="21"/>
                <w:szCs w:val="21"/>
              </w:rPr>
            </w:pP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</w:rPr>
              <w:t xml:space="preserve">Primary and secondary mass spectrometry data were collected in MSE mode using a Waters </w:t>
            </w:r>
            <w:proofErr w:type="spellStart"/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</w:rPr>
              <w:t>Xevo</w:t>
            </w:r>
            <w:proofErr w:type="spellEnd"/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</w:rPr>
              <w:t xml:space="preserve"> G2-XS QTOF high resolution mass spectrometer equipped with </w:t>
            </w:r>
            <w:proofErr w:type="spellStart"/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</w:rPr>
              <w:t>MassLynx</w:t>
            </w:r>
            <w:proofErr w:type="spellEnd"/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</w:rPr>
              <w:t xml:space="preserve"> V4.2 acquisition software (Waters).</w:t>
            </w:r>
          </w:p>
          <w:p w14:paraId="4ADD7927" w14:textId="77777777" w:rsidR="00461B41" w:rsidRPr="00461B41" w:rsidRDefault="00461B41" w:rsidP="00461B41">
            <w:pPr>
              <w:adjustRightInd w:val="0"/>
              <w:snapToGrid w:val="0"/>
              <w:ind w:firstLineChars="0" w:firstLine="0"/>
              <w:rPr>
                <w:rFonts w:ascii="Times New Roman" w:eastAsia="宋体" w:hAnsi="Times New Roman"/>
                <w:color w:val="000000"/>
                <w:sz w:val="21"/>
                <w:szCs w:val="21"/>
                <w:shd w:val="clear" w:color="auto" w:fill="FFFFFF"/>
              </w:rPr>
            </w:pP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shd w:val="clear" w:color="auto" w:fill="FFFFFF"/>
              </w:rPr>
              <w:t xml:space="preserve">In each data acquisition cycle, dual-channel data acquisition can be performed on both low collision energy and high collision energy at the same time. </w:t>
            </w:r>
          </w:p>
          <w:p w14:paraId="2D7DAE47" w14:textId="77777777" w:rsidR="00461B41" w:rsidRPr="00461B41" w:rsidRDefault="00461B41" w:rsidP="00461B41">
            <w:pPr>
              <w:adjustRightInd w:val="0"/>
              <w:snapToGrid w:val="0"/>
              <w:ind w:firstLineChars="0" w:firstLine="0"/>
              <w:rPr>
                <w:rFonts w:ascii="Times New Roman" w:eastAsia="宋体" w:hAnsi="Times New Roman"/>
                <w:color w:val="000000"/>
                <w:sz w:val="21"/>
                <w:szCs w:val="21"/>
                <w:shd w:val="clear" w:color="auto" w:fill="FFFFFF"/>
              </w:rPr>
            </w:pP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shd w:val="clear" w:color="auto" w:fill="FFFFFF"/>
              </w:rPr>
              <w:t xml:space="preserve">The low collision energy is 2 V, the high collision energy range is 10~40 V, and the scanning frequency is 0.2 s for a mass spectrum. </w:t>
            </w:r>
          </w:p>
          <w:p w14:paraId="49939CDB" w14:textId="77777777" w:rsidR="00461B41" w:rsidRPr="00461B41" w:rsidRDefault="00461B41" w:rsidP="00461B41">
            <w:pPr>
              <w:adjustRightInd w:val="0"/>
              <w:snapToGrid w:val="0"/>
              <w:ind w:firstLineChars="0" w:firstLine="0"/>
              <w:rPr>
                <w:rFonts w:ascii="Times New Roman" w:eastAsia="宋体" w:hAnsi="Times New Roman"/>
                <w:b/>
                <w:bCs/>
                <w:color w:val="000000"/>
                <w:sz w:val="21"/>
                <w:szCs w:val="21"/>
                <w:lang w:bidi="en-US"/>
              </w:rPr>
            </w:pPr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shd w:val="clear" w:color="auto" w:fill="FFFFFF"/>
              </w:rPr>
              <w:t xml:space="preserve">The parameters of the ESI ion source are as follows: Capillary voltage: 2000 V (positive ion mode) or -1500 V (negative ion mode); cone voltage: 30 V; ion source temperature: 150°C; </w:t>
            </w:r>
            <w:proofErr w:type="spellStart"/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shd w:val="clear" w:color="auto" w:fill="FFFFFF"/>
              </w:rPr>
              <w:t>desolvent</w:t>
            </w:r>
            <w:proofErr w:type="spellEnd"/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shd w:val="clear" w:color="auto" w:fill="FFFFFF"/>
              </w:rPr>
              <w:t xml:space="preserve"> gas temperature 500°C; backflush gas flow rate: 50 L/h; </w:t>
            </w:r>
            <w:proofErr w:type="spellStart"/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shd w:val="clear" w:color="auto" w:fill="FFFFFF"/>
              </w:rPr>
              <w:t>desolventizing</w:t>
            </w:r>
            <w:proofErr w:type="spellEnd"/>
            <w:r w:rsidRPr="00461B41">
              <w:rPr>
                <w:rFonts w:ascii="Times New Roman" w:eastAsia="宋体" w:hAnsi="Times New Roman"/>
                <w:color w:val="000000"/>
                <w:sz w:val="21"/>
                <w:szCs w:val="21"/>
                <w:shd w:val="clear" w:color="auto" w:fill="FFFFFF"/>
              </w:rPr>
              <w:t xml:space="preserve"> gas flow rate: 800 L/h.</w:t>
            </w:r>
          </w:p>
        </w:tc>
      </w:tr>
    </w:tbl>
    <w:p w14:paraId="62AB724E" w14:textId="77777777" w:rsidR="00461B41" w:rsidRPr="00461B41" w:rsidRDefault="00461B41" w:rsidP="00461B41">
      <w:pPr>
        <w:widowControl/>
        <w:ind w:firstLineChars="0" w:firstLine="0"/>
        <w:jc w:val="left"/>
        <w:rPr>
          <w:rFonts w:eastAsia="宋体" w:cs="Times New Roman"/>
        </w:rPr>
        <w:sectPr w:rsidR="00461B41" w:rsidRPr="00461B41" w:rsidSect="001F2F5C">
          <w:pgSz w:w="11906" w:h="16838"/>
          <w:pgMar w:top="1134" w:right="851" w:bottom="1134" w:left="851" w:header="851" w:footer="992" w:gutter="0"/>
          <w:cols w:space="720"/>
          <w:docGrid w:type="lines" w:linePitch="312"/>
        </w:sectPr>
      </w:pPr>
    </w:p>
    <w:p w14:paraId="664D101F" w14:textId="4FE73822" w:rsidR="00461B41" w:rsidRPr="009D1E9F" w:rsidRDefault="009D1E9F" w:rsidP="00461B41">
      <w:pPr>
        <w:spacing w:line="480" w:lineRule="auto"/>
        <w:ind w:firstLineChars="0" w:firstLine="0"/>
        <w:rPr>
          <w:rFonts w:eastAsia="宋体" w:cs="Times New Roman"/>
          <w:b/>
          <w:bCs/>
          <w:color w:val="000000"/>
          <w:kern w:val="0"/>
        </w:rPr>
      </w:pPr>
      <w:r w:rsidRPr="00761F85">
        <w:rPr>
          <w:rFonts w:eastAsia="仿宋"/>
          <w:b/>
        </w:rPr>
        <w:lastRenderedPageBreak/>
        <w:t xml:space="preserve">Supplementary </w:t>
      </w:r>
      <w:r w:rsidR="00461B41" w:rsidRPr="00461B41">
        <w:rPr>
          <w:rFonts w:eastAsia="宋体" w:cs="Times New Roman"/>
          <w:b/>
          <w:color w:val="000000"/>
          <w:kern w:val="0"/>
        </w:rPr>
        <w:t>Table</w:t>
      </w:r>
      <w:r w:rsidR="00461B41" w:rsidRPr="00461B41">
        <w:rPr>
          <w:rFonts w:eastAsia="宋体" w:cs="Times New Roman"/>
          <w:b/>
          <w:bCs/>
          <w:color w:val="000000"/>
          <w:lang w:bidi="ar"/>
        </w:rPr>
        <w:t xml:space="preserve"> </w:t>
      </w:r>
      <w:r w:rsidR="00461B41" w:rsidRPr="009D1E9F">
        <w:rPr>
          <w:rFonts w:eastAsia="宋体" w:cs="Times New Roman"/>
          <w:b/>
          <w:bCs/>
          <w:color w:val="000000"/>
          <w:lang w:bidi="ar"/>
        </w:rPr>
        <w:t xml:space="preserve">3. </w:t>
      </w:r>
      <w:r w:rsidR="00461B41" w:rsidRPr="009D1E9F">
        <w:rPr>
          <w:rFonts w:eastAsia="宋体" w:cs="Times New Roman"/>
          <w:b/>
          <w:bCs/>
          <w:color w:val="231F20"/>
        </w:rPr>
        <w:t xml:space="preserve">Identification of </w:t>
      </w:r>
      <w:r w:rsidR="00461B41" w:rsidRPr="009D1E9F">
        <w:rPr>
          <w:rFonts w:eastAsia="宋体" w:cs="Times New Roman"/>
          <w:b/>
          <w:bCs/>
          <w:color w:val="000000"/>
        </w:rPr>
        <w:t>metabolic</w:t>
      </w:r>
      <w:r w:rsidR="00461B41" w:rsidRPr="009D1E9F">
        <w:rPr>
          <w:rFonts w:eastAsia="宋体" w:cs="Times New Roman"/>
          <w:b/>
          <w:bCs/>
          <w:color w:val="231F20"/>
        </w:rPr>
        <w:t xml:space="preserve"> biomarkers in plasma. </w:t>
      </w:r>
    </w:p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419"/>
        <w:gridCol w:w="705"/>
        <w:gridCol w:w="1067"/>
        <w:gridCol w:w="644"/>
        <w:gridCol w:w="2552"/>
        <w:gridCol w:w="1276"/>
        <w:gridCol w:w="992"/>
        <w:gridCol w:w="425"/>
        <w:gridCol w:w="977"/>
        <w:gridCol w:w="866"/>
        <w:gridCol w:w="1134"/>
        <w:gridCol w:w="2901"/>
      </w:tblGrid>
      <w:tr w:rsidR="00461B41" w:rsidRPr="00461B41" w14:paraId="1564C17E" w14:textId="77777777" w:rsidTr="00F34775">
        <w:trPr>
          <w:trHeight w:val="20"/>
          <w:tblHeader/>
          <w:jc w:val="center"/>
        </w:trPr>
        <w:tc>
          <w:tcPr>
            <w:tcW w:w="419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357063C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No.</w:t>
            </w:r>
          </w:p>
        </w:tc>
        <w:tc>
          <w:tcPr>
            <w:tcW w:w="705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33B0C66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proofErr w:type="spellStart"/>
            <w:r w:rsidRPr="00461B41">
              <w:rPr>
                <w:rFonts w:eastAsia="DengXian" w:cs="Times New Roman"/>
                <w:color w:val="000000"/>
                <w:kern w:val="0"/>
              </w:rPr>
              <w:t>t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R</w:t>
            </w:r>
            <w:proofErr w:type="spellEnd"/>
            <w:r w:rsidRPr="00461B41">
              <w:rPr>
                <w:rFonts w:eastAsia="DengXian" w:cs="Times New Roman"/>
                <w:color w:val="000000"/>
                <w:kern w:val="0"/>
              </w:rPr>
              <w:t>/time</w:t>
            </w:r>
          </w:p>
        </w:tc>
        <w:tc>
          <w:tcPr>
            <w:tcW w:w="1067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1FB9041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m/z</w:t>
            </w:r>
          </w:p>
        </w:tc>
        <w:tc>
          <w:tcPr>
            <w:tcW w:w="644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17DF8F1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Mass error (ppm)</w:t>
            </w:r>
          </w:p>
        </w:tc>
        <w:tc>
          <w:tcPr>
            <w:tcW w:w="2552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76808AC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Metabolites</w:t>
            </w:r>
          </w:p>
        </w:tc>
        <w:tc>
          <w:tcPr>
            <w:tcW w:w="1276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3C586A4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Formula</w:t>
            </w:r>
          </w:p>
        </w:tc>
        <w:tc>
          <w:tcPr>
            <w:tcW w:w="992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26F10C9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Adduct Ion</w:t>
            </w:r>
          </w:p>
        </w:tc>
        <w:tc>
          <w:tcPr>
            <w:tcW w:w="425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087BDF0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VIP</w:t>
            </w:r>
          </w:p>
        </w:tc>
        <w:tc>
          <w:tcPr>
            <w:tcW w:w="977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132907C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i/>
                <w:iCs/>
                <w:color w:val="000000"/>
                <w:kern w:val="0"/>
              </w:rPr>
            </w:pPr>
            <w:r w:rsidRPr="00461B41">
              <w:rPr>
                <w:rFonts w:eastAsia="DengXian" w:cs="Times New Roman"/>
                <w:i/>
                <w:iCs/>
                <w:color w:val="000000"/>
                <w:kern w:val="0"/>
              </w:rPr>
              <w:t>P</w:t>
            </w:r>
            <w:r w:rsidRPr="00461B41">
              <w:rPr>
                <w:rFonts w:eastAsia="DengXian" w:cs="Times New Roman"/>
                <w:color w:val="000000"/>
                <w:kern w:val="0"/>
              </w:rPr>
              <w:t xml:space="preserve"> value</w:t>
            </w:r>
          </w:p>
        </w:tc>
        <w:tc>
          <w:tcPr>
            <w:tcW w:w="2000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281B77F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Trend</w:t>
            </w:r>
          </w:p>
        </w:tc>
        <w:tc>
          <w:tcPr>
            <w:tcW w:w="2901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40D70EE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Pathway (KEGG)</w:t>
            </w:r>
          </w:p>
        </w:tc>
      </w:tr>
      <w:tr w:rsidR="00461B41" w:rsidRPr="00461B41" w14:paraId="173E079C" w14:textId="77777777" w:rsidTr="00F34775">
        <w:trPr>
          <w:trHeight w:val="20"/>
          <w:tblHeader/>
          <w:jc w:val="center"/>
        </w:trPr>
        <w:tc>
          <w:tcPr>
            <w:tcW w:w="419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555FAA02" w14:textId="77777777" w:rsidR="00461B41" w:rsidRPr="00461B41" w:rsidRDefault="00461B41" w:rsidP="00461B41">
            <w:pPr>
              <w:widowControl/>
              <w:ind w:firstLineChars="0" w:firstLine="0"/>
              <w:jc w:val="left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705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5209E126" w14:textId="77777777" w:rsidR="00461B41" w:rsidRPr="00461B41" w:rsidRDefault="00461B41" w:rsidP="00461B41">
            <w:pPr>
              <w:widowControl/>
              <w:ind w:firstLineChars="0" w:firstLine="0"/>
              <w:jc w:val="left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1067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600F4126" w14:textId="77777777" w:rsidR="00461B41" w:rsidRPr="00461B41" w:rsidRDefault="00461B41" w:rsidP="00461B41">
            <w:pPr>
              <w:widowControl/>
              <w:ind w:firstLineChars="0" w:firstLine="0"/>
              <w:jc w:val="left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644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4443408C" w14:textId="77777777" w:rsidR="00461B41" w:rsidRPr="00461B41" w:rsidRDefault="00461B41" w:rsidP="00461B41">
            <w:pPr>
              <w:widowControl/>
              <w:ind w:firstLineChars="0" w:firstLine="0"/>
              <w:jc w:val="left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2552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63100A5B" w14:textId="77777777" w:rsidR="00461B41" w:rsidRPr="00461B41" w:rsidRDefault="00461B41" w:rsidP="00461B41">
            <w:pPr>
              <w:widowControl/>
              <w:ind w:firstLineChars="0" w:firstLine="0"/>
              <w:jc w:val="left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1276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796A3A8B" w14:textId="77777777" w:rsidR="00461B41" w:rsidRPr="00461B41" w:rsidRDefault="00461B41" w:rsidP="00461B41">
            <w:pPr>
              <w:widowControl/>
              <w:ind w:firstLineChars="0" w:firstLine="0"/>
              <w:jc w:val="left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992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7B54DF81" w14:textId="77777777" w:rsidR="00461B41" w:rsidRPr="00461B41" w:rsidRDefault="00461B41" w:rsidP="00461B41">
            <w:pPr>
              <w:widowControl/>
              <w:ind w:firstLineChars="0" w:firstLine="0"/>
              <w:jc w:val="left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425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020F3F32" w14:textId="77777777" w:rsidR="00461B41" w:rsidRPr="00461B41" w:rsidRDefault="00461B41" w:rsidP="00461B41">
            <w:pPr>
              <w:widowControl/>
              <w:ind w:firstLineChars="0" w:firstLine="0"/>
              <w:jc w:val="left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977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1DF800DC" w14:textId="77777777" w:rsidR="00461B41" w:rsidRPr="00461B41" w:rsidRDefault="00461B41" w:rsidP="00461B41">
            <w:pPr>
              <w:widowControl/>
              <w:ind w:firstLineChars="0" w:firstLine="0"/>
              <w:jc w:val="left"/>
              <w:rPr>
                <w:rFonts w:eastAsia="DengXian" w:cs="Times New Roman"/>
                <w:i/>
                <w:iCs/>
                <w:color w:val="000000"/>
                <w:kern w:val="0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4E45CB6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Model vs Control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6698B98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HCH vs Model</w:t>
            </w:r>
          </w:p>
        </w:tc>
        <w:tc>
          <w:tcPr>
            <w:tcW w:w="2901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0C118593" w14:textId="77777777" w:rsidR="00461B41" w:rsidRPr="00461B41" w:rsidRDefault="00461B41" w:rsidP="00461B41">
            <w:pPr>
              <w:widowControl/>
              <w:ind w:firstLineChars="0" w:firstLine="0"/>
              <w:jc w:val="left"/>
              <w:rPr>
                <w:rFonts w:eastAsia="DengXian" w:cs="Times New Roman"/>
                <w:color w:val="000000"/>
                <w:kern w:val="0"/>
              </w:rPr>
            </w:pPr>
          </w:p>
        </w:tc>
      </w:tr>
      <w:tr w:rsidR="00461B41" w:rsidRPr="00461B41" w14:paraId="338D99B3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41B6AFC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</w:t>
            </w:r>
          </w:p>
        </w:tc>
        <w:tc>
          <w:tcPr>
            <w:tcW w:w="705" w:type="dxa"/>
            <w:noWrap/>
            <w:vAlign w:val="center"/>
            <w:hideMark/>
          </w:tcPr>
          <w:p w14:paraId="188269C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0.59</w:t>
            </w:r>
          </w:p>
        </w:tc>
        <w:tc>
          <w:tcPr>
            <w:tcW w:w="1067" w:type="dxa"/>
            <w:noWrap/>
            <w:vAlign w:val="center"/>
            <w:hideMark/>
          </w:tcPr>
          <w:p w14:paraId="5E20636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154.0625</w:t>
            </w:r>
          </w:p>
        </w:tc>
        <w:tc>
          <w:tcPr>
            <w:tcW w:w="644" w:type="dxa"/>
            <w:noWrap/>
            <w:vAlign w:val="center"/>
            <w:hideMark/>
          </w:tcPr>
          <w:p w14:paraId="1B93945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1.8</w:t>
            </w:r>
          </w:p>
        </w:tc>
        <w:tc>
          <w:tcPr>
            <w:tcW w:w="2552" w:type="dxa"/>
            <w:noWrap/>
            <w:vAlign w:val="center"/>
            <w:hideMark/>
          </w:tcPr>
          <w:p w14:paraId="07AF4AA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L-Histidine</w:t>
            </w:r>
          </w:p>
        </w:tc>
        <w:tc>
          <w:tcPr>
            <w:tcW w:w="1276" w:type="dxa"/>
            <w:noWrap/>
            <w:vAlign w:val="center"/>
            <w:hideMark/>
          </w:tcPr>
          <w:p w14:paraId="6ACF386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6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9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</w:t>
            </w:r>
          </w:p>
        </w:tc>
        <w:tc>
          <w:tcPr>
            <w:tcW w:w="992" w:type="dxa"/>
            <w:noWrap/>
            <w:vAlign w:val="center"/>
            <w:hideMark/>
          </w:tcPr>
          <w:p w14:paraId="2AB4153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599FEA8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1.32</w:t>
            </w:r>
          </w:p>
        </w:tc>
        <w:tc>
          <w:tcPr>
            <w:tcW w:w="977" w:type="dxa"/>
            <w:noWrap/>
            <w:vAlign w:val="center"/>
            <w:hideMark/>
          </w:tcPr>
          <w:p w14:paraId="66F5124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3.16E-03</w:t>
            </w:r>
          </w:p>
        </w:tc>
        <w:tc>
          <w:tcPr>
            <w:tcW w:w="866" w:type="dxa"/>
            <w:noWrap/>
            <w:vAlign w:val="center"/>
            <w:hideMark/>
          </w:tcPr>
          <w:p w14:paraId="62CC55A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53FF22F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2901" w:type="dxa"/>
            <w:noWrap/>
            <w:vAlign w:val="center"/>
            <w:hideMark/>
          </w:tcPr>
          <w:p w14:paraId="7DEE21A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Histidine metabolism</w:t>
            </w:r>
          </w:p>
        </w:tc>
      </w:tr>
      <w:tr w:rsidR="00461B41" w:rsidRPr="00461B41" w14:paraId="551874EB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5A4E2B1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</w:t>
            </w:r>
          </w:p>
        </w:tc>
        <w:tc>
          <w:tcPr>
            <w:tcW w:w="705" w:type="dxa"/>
            <w:noWrap/>
            <w:vAlign w:val="center"/>
            <w:hideMark/>
          </w:tcPr>
          <w:p w14:paraId="03D7DAA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0.61</w:t>
            </w:r>
          </w:p>
        </w:tc>
        <w:tc>
          <w:tcPr>
            <w:tcW w:w="1067" w:type="dxa"/>
            <w:noWrap/>
            <w:vAlign w:val="center"/>
            <w:hideMark/>
          </w:tcPr>
          <w:p w14:paraId="0AEB6B6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124.0082</w:t>
            </w:r>
          </w:p>
        </w:tc>
        <w:tc>
          <w:tcPr>
            <w:tcW w:w="644" w:type="dxa"/>
            <w:noWrap/>
            <w:vAlign w:val="center"/>
            <w:hideMark/>
          </w:tcPr>
          <w:p w14:paraId="0484B74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6.7</w:t>
            </w:r>
          </w:p>
        </w:tc>
        <w:tc>
          <w:tcPr>
            <w:tcW w:w="2552" w:type="dxa"/>
            <w:noWrap/>
            <w:vAlign w:val="center"/>
            <w:hideMark/>
          </w:tcPr>
          <w:p w14:paraId="7278A6C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Beta-Alanine</w:t>
            </w:r>
          </w:p>
        </w:tc>
        <w:tc>
          <w:tcPr>
            <w:tcW w:w="1276" w:type="dxa"/>
            <w:noWrap/>
            <w:vAlign w:val="center"/>
            <w:hideMark/>
          </w:tcPr>
          <w:p w14:paraId="19A283F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7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</w:t>
            </w:r>
          </w:p>
        </w:tc>
        <w:tc>
          <w:tcPr>
            <w:tcW w:w="992" w:type="dxa"/>
            <w:noWrap/>
            <w:vAlign w:val="center"/>
            <w:hideMark/>
          </w:tcPr>
          <w:p w14:paraId="0AADA82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43177DB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1.36</w:t>
            </w:r>
          </w:p>
        </w:tc>
        <w:tc>
          <w:tcPr>
            <w:tcW w:w="977" w:type="dxa"/>
            <w:noWrap/>
            <w:vAlign w:val="center"/>
            <w:hideMark/>
          </w:tcPr>
          <w:p w14:paraId="773F724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3.69E-04</w:t>
            </w:r>
          </w:p>
        </w:tc>
        <w:tc>
          <w:tcPr>
            <w:tcW w:w="866" w:type="dxa"/>
            <w:noWrap/>
            <w:vAlign w:val="center"/>
            <w:hideMark/>
          </w:tcPr>
          <w:p w14:paraId="58101DF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7D5A05C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019BE7C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beta-Alanine metabolism</w:t>
            </w:r>
          </w:p>
        </w:tc>
      </w:tr>
      <w:tr w:rsidR="00461B41" w:rsidRPr="00461B41" w14:paraId="741DE0DC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264A463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</w:t>
            </w:r>
          </w:p>
        </w:tc>
        <w:tc>
          <w:tcPr>
            <w:tcW w:w="705" w:type="dxa"/>
            <w:noWrap/>
            <w:vAlign w:val="center"/>
            <w:hideMark/>
          </w:tcPr>
          <w:p w14:paraId="0A74B86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0.63</w:t>
            </w:r>
          </w:p>
        </w:tc>
        <w:tc>
          <w:tcPr>
            <w:tcW w:w="1067" w:type="dxa"/>
            <w:noWrap/>
            <w:vAlign w:val="center"/>
            <w:hideMark/>
          </w:tcPr>
          <w:p w14:paraId="3AD2E3A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176.0565</w:t>
            </w:r>
          </w:p>
        </w:tc>
        <w:tc>
          <w:tcPr>
            <w:tcW w:w="644" w:type="dxa"/>
            <w:noWrap/>
            <w:vAlign w:val="center"/>
            <w:hideMark/>
          </w:tcPr>
          <w:p w14:paraId="4774DCF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0.7</w:t>
            </w:r>
          </w:p>
        </w:tc>
        <w:tc>
          <w:tcPr>
            <w:tcW w:w="2552" w:type="dxa"/>
            <w:noWrap/>
            <w:vAlign w:val="center"/>
            <w:hideMark/>
          </w:tcPr>
          <w:p w14:paraId="694D619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4-Hydroxyproline</w:t>
            </w:r>
          </w:p>
        </w:tc>
        <w:tc>
          <w:tcPr>
            <w:tcW w:w="1276" w:type="dxa"/>
            <w:noWrap/>
            <w:vAlign w:val="center"/>
            <w:hideMark/>
          </w:tcPr>
          <w:p w14:paraId="58A4EB3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9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</w:t>
            </w:r>
          </w:p>
        </w:tc>
        <w:tc>
          <w:tcPr>
            <w:tcW w:w="992" w:type="dxa"/>
            <w:noWrap/>
            <w:vAlign w:val="center"/>
            <w:hideMark/>
          </w:tcPr>
          <w:p w14:paraId="49E07A4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43BF620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</w:t>
            </w:r>
          </w:p>
        </w:tc>
        <w:tc>
          <w:tcPr>
            <w:tcW w:w="977" w:type="dxa"/>
            <w:noWrap/>
            <w:vAlign w:val="center"/>
            <w:hideMark/>
          </w:tcPr>
          <w:p w14:paraId="201FE8B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2.27E-04</w:t>
            </w:r>
          </w:p>
        </w:tc>
        <w:tc>
          <w:tcPr>
            <w:tcW w:w="866" w:type="dxa"/>
            <w:noWrap/>
            <w:vAlign w:val="center"/>
            <w:hideMark/>
          </w:tcPr>
          <w:p w14:paraId="0330070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648A811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3088331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Arginine and proline metabolism</w:t>
            </w:r>
          </w:p>
        </w:tc>
      </w:tr>
      <w:tr w:rsidR="00461B41" w:rsidRPr="00461B41" w14:paraId="5BD45569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3948456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</w:t>
            </w:r>
          </w:p>
        </w:tc>
        <w:tc>
          <w:tcPr>
            <w:tcW w:w="705" w:type="dxa"/>
            <w:noWrap/>
            <w:vAlign w:val="center"/>
            <w:hideMark/>
          </w:tcPr>
          <w:p w14:paraId="249AF5B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0.66</w:t>
            </w:r>
          </w:p>
        </w:tc>
        <w:tc>
          <w:tcPr>
            <w:tcW w:w="1067" w:type="dxa"/>
            <w:noWrap/>
            <w:vAlign w:val="center"/>
            <w:hideMark/>
          </w:tcPr>
          <w:p w14:paraId="67D0D53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132.0779</w:t>
            </w:r>
          </w:p>
        </w:tc>
        <w:tc>
          <w:tcPr>
            <w:tcW w:w="644" w:type="dxa"/>
            <w:noWrap/>
            <w:vAlign w:val="center"/>
            <w:hideMark/>
          </w:tcPr>
          <w:p w14:paraId="51900B6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9.1</w:t>
            </w:r>
          </w:p>
        </w:tc>
        <w:tc>
          <w:tcPr>
            <w:tcW w:w="2552" w:type="dxa"/>
            <w:noWrap/>
            <w:vAlign w:val="center"/>
            <w:hideMark/>
          </w:tcPr>
          <w:p w14:paraId="1E131EC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Creatine</w:t>
            </w:r>
          </w:p>
        </w:tc>
        <w:tc>
          <w:tcPr>
            <w:tcW w:w="1276" w:type="dxa"/>
            <w:noWrap/>
            <w:vAlign w:val="center"/>
            <w:hideMark/>
          </w:tcPr>
          <w:p w14:paraId="5E908B6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9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</w:t>
            </w:r>
          </w:p>
        </w:tc>
        <w:tc>
          <w:tcPr>
            <w:tcW w:w="992" w:type="dxa"/>
            <w:noWrap/>
            <w:vAlign w:val="center"/>
            <w:hideMark/>
          </w:tcPr>
          <w:p w14:paraId="6A403FA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3DD7296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1.25</w:t>
            </w:r>
          </w:p>
        </w:tc>
        <w:tc>
          <w:tcPr>
            <w:tcW w:w="977" w:type="dxa"/>
            <w:noWrap/>
            <w:vAlign w:val="center"/>
            <w:hideMark/>
          </w:tcPr>
          <w:p w14:paraId="025C740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7.55E-03</w:t>
            </w:r>
          </w:p>
        </w:tc>
        <w:tc>
          <w:tcPr>
            <w:tcW w:w="866" w:type="dxa"/>
            <w:noWrap/>
            <w:vAlign w:val="center"/>
            <w:hideMark/>
          </w:tcPr>
          <w:p w14:paraId="2FDB933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15ACB0E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2901" w:type="dxa"/>
            <w:noWrap/>
            <w:vAlign w:val="center"/>
            <w:hideMark/>
          </w:tcPr>
          <w:p w14:paraId="1D0B76A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Arginine and proline metabolism</w:t>
            </w:r>
          </w:p>
        </w:tc>
      </w:tr>
      <w:tr w:rsidR="00461B41" w:rsidRPr="00461B41" w14:paraId="57FF470A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7BDD8E6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5</w:t>
            </w:r>
          </w:p>
        </w:tc>
        <w:tc>
          <w:tcPr>
            <w:tcW w:w="705" w:type="dxa"/>
            <w:noWrap/>
            <w:vAlign w:val="center"/>
            <w:hideMark/>
          </w:tcPr>
          <w:p w14:paraId="7DAE2AB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0.67</w:t>
            </w:r>
          </w:p>
        </w:tc>
        <w:tc>
          <w:tcPr>
            <w:tcW w:w="1067" w:type="dxa"/>
            <w:noWrap/>
            <w:vAlign w:val="center"/>
            <w:hideMark/>
          </w:tcPr>
          <w:p w14:paraId="1DAA7C9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116.0717</w:t>
            </w:r>
          </w:p>
        </w:tc>
        <w:tc>
          <w:tcPr>
            <w:tcW w:w="644" w:type="dxa"/>
            <w:noWrap/>
            <w:vAlign w:val="center"/>
            <w:hideMark/>
          </w:tcPr>
          <w:p w14:paraId="307A5DE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9.6</w:t>
            </w:r>
          </w:p>
        </w:tc>
        <w:tc>
          <w:tcPr>
            <w:tcW w:w="2552" w:type="dxa"/>
            <w:noWrap/>
            <w:vAlign w:val="center"/>
            <w:hideMark/>
          </w:tcPr>
          <w:p w14:paraId="617272B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L-Proline</w:t>
            </w:r>
          </w:p>
        </w:tc>
        <w:tc>
          <w:tcPr>
            <w:tcW w:w="1276" w:type="dxa"/>
            <w:noWrap/>
            <w:vAlign w:val="center"/>
            <w:hideMark/>
          </w:tcPr>
          <w:p w14:paraId="7EA6B41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9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</w:t>
            </w:r>
          </w:p>
        </w:tc>
        <w:tc>
          <w:tcPr>
            <w:tcW w:w="992" w:type="dxa"/>
            <w:noWrap/>
            <w:vAlign w:val="center"/>
            <w:hideMark/>
          </w:tcPr>
          <w:p w14:paraId="5C587EC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4A043B4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1.43</w:t>
            </w:r>
          </w:p>
        </w:tc>
        <w:tc>
          <w:tcPr>
            <w:tcW w:w="977" w:type="dxa"/>
            <w:noWrap/>
            <w:vAlign w:val="center"/>
            <w:hideMark/>
          </w:tcPr>
          <w:p w14:paraId="1F6332B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1.80E-04</w:t>
            </w:r>
          </w:p>
        </w:tc>
        <w:tc>
          <w:tcPr>
            <w:tcW w:w="866" w:type="dxa"/>
            <w:noWrap/>
            <w:vAlign w:val="center"/>
            <w:hideMark/>
          </w:tcPr>
          <w:p w14:paraId="3B9C7B9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7D3EB1D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6939585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Arginine and proline metabolism</w:t>
            </w:r>
          </w:p>
        </w:tc>
      </w:tr>
      <w:tr w:rsidR="00461B41" w:rsidRPr="00461B41" w14:paraId="664611CD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77553C5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6</w:t>
            </w:r>
          </w:p>
        </w:tc>
        <w:tc>
          <w:tcPr>
            <w:tcW w:w="705" w:type="dxa"/>
            <w:noWrap/>
            <w:vAlign w:val="center"/>
            <w:hideMark/>
          </w:tcPr>
          <w:p w14:paraId="1BF9FE6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0.68</w:t>
            </w:r>
          </w:p>
        </w:tc>
        <w:tc>
          <w:tcPr>
            <w:tcW w:w="1067" w:type="dxa"/>
            <w:noWrap/>
            <w:vAlign w:val="center"/>
            <w:hideMark/>
          </w:tcPr>
          <w:p w14:paraId="60A0781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346.0448</w:t>
            </w:r>
          </w:p>
        </w:tc>
        <w:tc>
          <w:tcPr>
            <w:tcW w:w="644" w:type="dxa"/>
            <w:noWrap/>
            <w:vAlign w:val="center"/>
            <w:hideMark/>
          </w:tcPr>
          <w:p w14:paraId="072B4A8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-7.1</w:t>
            </w:r>
          </w:p>
        </w:tc>
        <w:tc>
          <w:tcPr>
            <w:tcW w:w="2552" w:type="dxa"/>
            <w:noWrap/>
            <w:vAlign w:val="center"/>
            <w:hideMark/>
          </w:tcPr>
          <w:p w14:paraId="22D68D1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Glutathione</w:t>
            </w:r>
          </w:p>
        </w:tc>
        <w:tc>
          <w:tcPr>
            <w:tcW w:w="1276" w:type="dxa"/>
            <w:noWrap/>
            <w:vAlign w:val="center"/>
            <w:hideMark/>
          </w:tcPr>
          <w:p w14:paraId="1BEF446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10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17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6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S</w:t>
            </w:r>
          </w:p>
        </w:tc>
        <w:tc>
          <w:tcPr>
            <w:tcW w:w="992" w:type="dxa"/>
            <w:noWrap/>
            <w:vAlign w:val="center"/>
            <w:hideMark/>
          </w:tcPr>
          <w:p w14:paraId="451F30B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589C3FB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1.49</w:t>
            </w:r>
          </w:p>
        </w:tc>
        <w:tc>
          <w:tcPr>
            <w:tcW w:w="977" w:type="dxa"/>
            <w:noWrap/>
            <w:vAlign w:val="center"/>
            <w:hideMark/>
          </w:tcPr>
          <w:p w14:paraId="7D44E62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2.07E-05</w:t>
            </w:r>
          </w:p>
        </w:tc>
        <w:tc>
          <w:tcPr>
            <w:tcW w:w="866" w:type="dxa"/>
            <w:noWrap/>
            <w:vAlign w:val="center"/>
            <w:hideMark/>
          </w:tcPr>
          <w:p w14:paraId="573F745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385EEA6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2C52244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482DFE40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2925E22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7</w:t>
            </w:r>
          </w:p>
        </w:tc>
        <w:tc>
          <w:tcPr>
            <w:tcW w:w="705" w:type="dxa"/>
            <w:noWrap/>
            <w:vAlign w:val="center"/>
            <w:hideMark/>
          </w:tcPr>
          <w:p w14:paraId="2D61D59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0.68</w:t>
            </w:r>
          </w:p>
        </w:tc>
        <w:tc>
          <w:tcPr>
            <w:tcW w:w="1067" w:type="dxa"/>
            <w:noWrap/>
            <w:vAlign w:val="center"/>
            <w:hideMark/>
          </w:tcPr>
          <w:p w14:paraId="1D4C29D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667.2301</w:t>
            </w:r>
          </w:p>
        </w:tc>
        <w:tc>
          <w:tcPr>
            <w:tcW w:w="644" w:type="dxa"/>
            <w:noWrap/>
            <w:vAlign w:val="center"/>
            <w:hideMark/>
          </w:tcPr>
          <w:p w14:paraId="0DEE267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</w:t>
            </w:r>
          </w:p>
        </w:tc>
        <w:tc>
          <w:tcPr>
            <w:tcW w:w="2552" w:type="dxa"/>
            <w:noWrap/>
            <w:vAlign w:val="center"/>
            <w:hideMark/>
          </w:tcPr>
          <w:p w14:paraId="0445E19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Stachyose</w:t>
            </w:r>
          </w:p>
        </w:tc>
        <w:tc>
          <w:tcPr>
            <w:tcW w:w="1276" w:type="dxa"/>
            <w:noWrap/>
            <w:vAlign w:val="center"/>
            <w:hideMark/>
          </w:tcPr>
          <w:p w14:paraId="07EC599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42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21</w:t>
            </w:r>
          </w:p>
        </w:tc>
        <w:tc>
          <w:tcPr>
            <w:tcW w:w="992" w:type="dxa"/>
            <w:noWrap/>
            <w:vAlign w:val="center"/>
            <w:hideMark/>
          </w:tcPr>
          <w:p w14:paraId="1134BEE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2F8BA83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1.52</w:t>
            </w:r>
          </w:p>
        </w:tc>
        <w:tc>
          <w:tcPr>
            <w:tcW w:w="977" w:type="dxa"/>
            <w:noWrap/>
            <w:vAlign w:val="center"/>
            <w:hideMark/>
          </w:tcPr>
          <w:p w14:paraId="1BC0FDB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8.57E-06</w:t>
            </w:r>
          </w:p>
        </w:tc>
        <w:tc>
          <w:tcPr>
            <w:tcW w:w="866" w:type="dxa"/>
            <w:noWrap/>
            <w:vAlign w:val="center"/>
            <w:hideMark/>
          </w:tcPr>
          <w:p w14:paraId="55D2A7C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0D7C5E8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77425E7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Galactose metabolism</w:t>
            </w:r>
          </w:p>
        </w:tc>
      </w:tr>
      <w:tr w:rsidR="00461B41" w:rsidRPr="00461B41" w14:paraId="06137EB6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277FB7F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8</w:t>
            </w:r>
          </w:p>
        </w:tc>
        <w:tc>
          <w:tcPr>
            <w:tcW w:w="705" w:type="dxa"/>
            <w:noWrap/>
            <w:vAlign w:val="center"/>
            <w:hideMark/>
          </w:tcPr>
          <w:p w14:paraId="69C23D7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0.71</w:t>
            </w:r>
          </w:p>
        </w:tc>
        <w:tc>
          <w:tcPr>
            <w:tcW w:w="1067" w:type="dxa"/>
            <w:noWrap/>
            <w:vAlign w:val="center"/>
            <w:hideMark/>
          </w:tcPr>
          <w:p w14:paraId="5BBD3F9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426.022</w:t>
            </w:r>
          </w:p>
        </w:tc>
        <w:tc>
          <w:tcPr>
            <w:tcW w:w="644" w:type="dxa"/>
            <w:noWrap/>
            <w:vAlign w:val="center"/>
            <w:hideMark/>
          </w:tcPr>
          <w:p w14:paraId="063E897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-0.3</w:t>
            </w:r>
          </w:p>
        </w:tc>
        <w:tc>
          <w:tcPr>
            <w:tcW w:w="2552" w:type="dxa"/>
            <w:noWrap/>
            <w:vAlign w:val="center"/>
            <w:hideMark/>
          </w:tcPr>
          <w:p w14:paraId="282D21E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ADP</w:t>
            </w:r>
          </w:p>
        </w:tc>
        <w:tc>
          <w:tcPr>
            <w:tcW w:w="1276" w:type="dxa"/>
            <w:noWrap/>
            <w:vAlign w:val="center"/>
            <w:hideMark/>
          </w:tcPr>
          <w:p w14:paraId="667A7C2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10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15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10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P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</w:t>
            </w:r>
          </w:p>
        </w:tc>
        <w:tc>
          <w:tcPr>
            <w:tcW w:w="992" w:type="dxa"/>
            <w:noWrap/>
            <w:vAlign w:val="center"/>
            <w:hideMark/>
          </w:tcPr>
          <w:p w14:paraId="03FA9B5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4026665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1.47</w:t>
            </w:r>
          </w:p>
        </w:tc>
        <w:tc>
          <w:tcPr>
            <w:tcW w:w="977" w:type="dxa"/>
            <w:noWrap/>
            <w:vAlign w:val="center"/>
            <w:hideMark/>
          </w:tcPr>
          <w:p w14:paraId="1C32177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1.02E-04</w:t>
            </w:r>
          </w:p>
        </w:tc>
        <w:tc>
          <w:tcPr>
            <w:tcW w:w="866" w:type="dxa"/>
            <w:noWrap/>
            <w:vAlign w:val="center"/>
            <w:hideMark/>
          </w:tcPr>
          <w:p w14:paraId="48BAF89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47E0645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06765E7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Purine metabolism</w:t>
            </w:r>
          </w:p>
        </w:tc>
      </w:tr>
      <w:tr w:rsidR="00461B41" w:rsidRPr="00461B41" w14:paraId="3380C8E9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34F0C06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9</w:t>
            </w:r>
          </w:p>
        </w:tc>
        <w:tc>
          <w:tcPr>
            <w:tcW w:w="705" w:type="dxa"/>
            <w:noWrap/>
            <w:vAlign w:val="center"/>
            <w:hideMark/>
          </w:tcPr>
          <w:p w14:paraId="13129A7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0.78</w:t>
            </w:r>
          </w:p>
        </w:tc>
        <w:tc>
          <w:tcPr>
            <w:tcW w:w="1067" w:type="dxa"/>
            <w:noWrap/>
            <w:vAlign w:val="center"/>
            <w:hideMark/>
          </w:tcPr>
          <w:p w14:paraId="4BBCC00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115.0043</w:t>
            </w:r>
          </w:p>
        </w:tc>
        <w:tc>
          <w:tcPr>
            <w:tcW w:w="644" w:type="dxa"/>
            <w:noWrap/>
            <w:vAlign w:val="center"/>
            <w:hideMark/>
          </w:tcPr>
          <w:p w14:paraId="231F2BC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5.1</w:t>
            </w:r>
          </w:p>
        </w:tc>
        <w:tc>
          <w:tcPr>
            <w:tcW w:w="2552" w:type="dxa"/>
            <w:noWrap/>
            <w:vAlign w:val="center"/>
            <w:hideMark/>
          </w:tcPr>
          <w:p w14:paraId="7DE022D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Fumaric acid</w:t>
            </w:r>
          </w:p>
        </w:tc>
        <w:tc>
          <w:tcPr>
            <w:tcW w:w="1276" w:type="dxa"/>
            <w:noWrap/>
            <w:vAlign w:val="center"/>
            <w:hideMark/>
          </w:tcPr>
          <w:p w14:paraId="1AA5D4B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4</w:t>
            </w:r>
          </w:p>
        </w:tc>
        <w:tc>
          <w:tcPr>
            <w:tcW w:w="992" w:type="dxa"/>
            <w:noWrap/>
            <w:vAlign w:val="center"/>
            <w:hideMark/>
          </w:tcPr>
          <w:p w14:paraId="66DD7FD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5A7F1AE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1.16</w:t>
            </w:r>
          </w:p>
        </w:tc>
        <w:tc>
          <w:tcPr>
            <w:tcW w:w="977" w:type="dxa"/>
            <w:noWrap/>
            <w:vAlign w:val="center"/>
            <w:hideMark/>
          </w:tcPr>
          <w:p w14:paraId="5937CCA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1.15E-02</w:t>
            </w:r>
          </w:p>
        </w:tc>
        <w:tc>
          <w:tcPr>
            <w:tcW w:w="866" w:type="dxa"/>
            <w:noWrap/>
            <w:vAlign w:val="center"/>
            <w:hideMark/>
          </w:tcPr>
          <w:p w14:paraId="4CB43B5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1134" w:type="dxa"/>
            <w:noWrap/>
            <w:vAlign w:val="center"/>
            <w:hideMark/>
          </w:tcPr>
          <w:p w14:paraId="3954D29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2901" w:type="dxa"/>
            <w:noWrap/>
            <w:vAlign w:val="center"/>
            <w:hideMark/>
          </w:tcPr>
          <w:p w14:paraId="0620CDB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Citrate cycle (TCA cycle)</w:t>
            </w:r>
          </w:p>
        </w:tc>
      </w:tr>
      <w:tr w:rsidR="00461B41" w:rsidRPr="00461B41" w14:paraId="17E1C18C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6EA86DE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10</w:t>
            </w:r>
          </w:p>
        </w:tc>
        <w:tc>
          <w:tcPr>
            <w:tcW w:w="705" w:type="dxa"/>
            <w:noWrap/>
            <w:vAlign w:val="center"/>
            <w:hideMark/>
          </w:tcPr>
          <w:p w14:paraId="4E8D404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0.78</w:t>
            </w:r>
          </w:p>
        </w:tc>
        <w:tc>
          <w:tcPr>
            <w:tcW w:w="1067" w:type="dxa"/>
            <w:noWrap/>
            <w:vAlign w:val="center"/>
            <w:hideMark/>
          </w:tcPr>
          <w:p w14:paraId="1BE7223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133.0149</w:t>
            </w:r>
          </w:p>
        </w:tc>
        <w:tc>
          <w:tcPr>
            <w:tcW w:w="644" w:type="dxa"/>
            <w:noWrap/>
            <w:vAlign w:val="center"/>
            <w:hideMark/>
          </w:tcPr>
          <w:p w14:paraId="0D190DC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5.2</w:t>
            </w:r>
          </w:p>
        </w:tc>
        <w:tc>
          <w:tcPr>
            <w:tcW w:w="2552" w:type="dxa"/>
            <w:noWrap/>
            <w:vAlign w:val="center"/>
            <w:hideMark/>
          </w:tcPr>
          <w:p w14:paraId="153129D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L-Malic acid</w:t>
            </w:r>
          </w:p>
        </w:tc>
        <w:tc>
          <w:tcPr>
            <w:tcW w:w="1276" w:type="dxa"/>
            <w:noWrap/>
            <w:vAlign w:val="center"/>
            <w:hideMark/>
          </w:tcPr>
          <w:p w14:paraId="1A1EBB3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6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</w:t>
            </w:r>
          </w:p>
        </w:tc>
        <w:tc>
          <w:tcPr>
            <w:tcW w:w="992" w:type="dxa"/>
            <w:noWrap/>
            <w:vAlign w:val="center"/>
            <w:hideMark/>
          </w:tcPr>
          <w:p w14:paraId="28017AA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5BCB700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1.32</w:t>
            </w:r>
          </w:p>
        </w:tc>
        <w:tc>
          <w:tcPr>
            <w:tcW w:w="977" w:type="dxa"/>
            <w:noWrap/>
            <w:vAlign w:val="center"/>
            <w:hideMark/>
          </w:tcPr>
          <w:p w14:paraId="26956CB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2.18E-03</w:t>
            </w:r>
          </w:p>
        </w:tc>
        <w:tc>
          <w:tcPr>
            <w:tcW w:w="866" w:type="dxa"/>
            <w:noWrap/>
            <w:vAlign w:val="center"/>
            <w:hideMark/>
          </w:tcPr>
          <w:p w14:paraId="4D78C72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2D7DFE9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2901" w:type="dxa"/>
            <w:noWrap/>
            <w:vAlign w:val="center"/>
            <w:hideMark/>
          </w:tcPr>
          <w:p w14:paraId="559D8AC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Citrate cycle (TCA cycle)</w:t>
            </w:r>
          </w:p>
        </w:tc>
      </w:tr>
      <w:tr w:rsidR="00461B41" w:rsidRPr="00461B41" w14:paraId="3A41E5E3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4ACAD5C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11</w:t>
            </w:r>
          </w:p>
        </w:tc>
        <w:tc>
          <w:tcPr>
            <w:tcW w:w="705" w:type="dxa"/>
            <w:noWrap/>
            <w:vAlign w:val="center"/>
            <w:hideMark/>
          </w:tcPr>
          <w:p w14:paraId="627701F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0.78</w:t>
            </w:r>
          </w:p>
        </w:tc>
        <w:tc>
          <w:tcPr>
            <w:tcW w:w="1067" w:type="dxa"/>
            <w:noWrap/>
            <w:vAlign w:val="center"/>
            <w:hideMark/>
          </w:tcPr>
          <w:p w14:paraId="0A92303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87.0099</w:t>
            </w:r>
          </w:p>
        </w:tc>
        <w:tc>
          <w:tcPr>
            <w:tcW w:w="644" w:type="dxa"/>
            <w:noWrap/>
            <w:vAlign w:val="center"/>
            <w:hideMark/>
          </w:tcPr>
          <w:p w14:paraId="254FF07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13.1</w:t>
            </w:r>
          </w:p>
        </w:tc>
        <w:tc>
          <w:tcPr>
            <w:tcW w:w="2552" w:type="dxa"/>
            <w:noWrap/>
            <w:vAlign w:val="center"/>
            <w:hideMark/>
          </w:tcPr>
          <w:p w14:paraId="06C8DA3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Pyruvic acid</w:t>
            </w:r>
          </w:p>
        </w:tc>
        <w:tc>
          <w:tcPr>
            <w:tcW w:w="1276" w:type="dxa"/>
            <w:noWrap/>
            <w:vAlign w:val="center"/>
            <w:hideMark/>
          </w:tcPr>
          <w:p w14:paraId="6267AF9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</w:t>
            </w:r>
          </w:p>
        </w:tc>
        <w:tc>
          <w:tcPr>
            <w:tcW w:w="992" w:type="dxa"/>
            <w:noWrap/>
            <w:vAlign w:val="center"/>
            <w:hideMark/>
          </w:tcPr>
          <w:p w14:paraId="3EC9191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43D549C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1.32</w:t>
            </w:r>
          </w:p>
        </w:tc>
        <w:tc>
          <w:tcPr>
            <w:tcW w:w="977" w:type="dxa"/>
            <w:noWrap/>
            <w:vAlign w:val="center"/>
            <w:hideMark/>
          </w:tcPr>
          <w:p w14:paraId="687BFB6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2.19E-03</w:t>
            </w:r>
          </w:p>
        </w:tc>
        <w:tc>
          <w:tcPr>
            <w:tcW w:w="866" w:type="dxa"/>
            <w:noWrap/>
            <w:vAlign w:val="center"/>
            <w:hideMark/>
          </w:tcPr>
          <w:p w14:paraId="7768B3B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06C4A6F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41461FE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Citrate cycle (TCA cycle)</w:t>
            </w:r>
          </w:p>
        </w:tc>
      </w:tr>
      <w:tr w:rsidR="00461B41" w:rsidRPr="00461B41" w14:paraId="112A3E6E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0D1D059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12</w:t>
            </w:r>
          </w:p>
        </w:tc>
        <w:tc>
          <w:tcPr>
            <w:tcW w:w="705" w:type="dxa"/>
            <w:noWrap/>
            <w:vAlign w:val="center"/>
            <w:hideMark/>
          </w:tcPr>
          <w:p w14:paraId="2D6B45D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0.83</w:t>
            </w:r>
          </w:p>
        </w:tc>
        <w:tc>
          <w:tcPr>
            <w:tcW w:w="1067" w:type="dxa"/>
            <w:noWrap/>
            <w:vAlign w:val="center"/>
            <w:hideMark/>
          </w:tcPr>
          <w:p w14:paraId="0762615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427.098</w:t>
            </w:r>
          </w:p>
        </w:tc>
        <w:tc>
          <w:tcPr>
            <w:tcW w:w="644" w:type="dxa"/>
            <w:noWrap/>
            <w:vAlign w:val="center"/>
            <w:hideMark/>
          </w:tcPr>
          <w:p w14:paraId="643CBDC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-5.6</w:t>
            </w:r>
          </w:p>
        </w:tc>
        <w:tc>
          <w:tcPr>
            <w:tcW w:w="2552" w:type="dxa"/>
            <w:noWrap/>
            <w:vAlign w:val="center"/>
            <w:hideMark/>
          </w:tcPr>
          <w:p w14:paraId="0948D16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Phosphatidylserine</w:t>
            </w:r>
          </w:p>
        </w:tc>
        <w:tc>
          <w:tcPr>
            <w:tcW w:w="1276" w:type="dxa"/>
            <w:noWrap/>
            <w:vAlign w:val="center"/>
            <w:hideMark/>
          </w:tcPr>
          <w:p w14:paraId="49966E6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13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10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P</w:t>
            </w:r>
          </w:p>
        </w:tc>
        <w:tc>
          <w:tcPr>
            <w:tcW w:w="992" w:type="dxa"/>
            <w:noWrap/>
            <w:vAlign w:val="center"/>
            <w:hideMark/>
          </w:tcPr>
          <w:p w14:paraId="2B1552C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6C15B0C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1.49</w:t>
            </w:r>
          </w:p>
        </w:tc>
        <w:tc>
          <w:tcPr>
            <w:tcW w:w="977" w:type="dxa"/>
            <w:noWrap/>
            <w:vAlign w:val="center"/>
            <w:hideMark/>
          </w:tcPr>
          <w:p w14:paraId="172C82C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2.86E-04</w:t>
            </w:r>
          </w:p>
        </w:tc>
        <w:tc>
          <w:tcPr>
            <w:tcW w:w="866" w:type="dxa"/>
            <w:noWrap/>
            <w:vAlign w:val="center"/>
            <w:hideMark/>
          </w:tcPr>
          <w:p w14:paraId="21A1480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435548E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39DA924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2A098C27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1CA9C1E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13</w:t>
            </w:r>
          </w:p>
        </w:tc>
        <w:tc>
          <w:tcPr>
            <w:tcW w:w="705" w:type="dxa"/>
            <w:noWrap/>
            <w:vAlign w:val="center"/>
            <w:hideMark/>
          </w:tcPr>
          <w:p w14:paraId="377F85E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1.48</w:t>
            </w:r>
          </w:p>
        </w:tc>
        <w:tc>
          <w:tcPr>
            <w:tcW w:w="1067" w:type="dxa"/>
            <w:noWrap/>
            <w:vAlign w:val="center"/>
            <w:hideMark/>
          </w:tcPr>
          <w:p w14:paraId="32405BA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535.1524</w:t>
            </w:r>
          </w:p>
        </w:tc>
        <w:tc>
          <w:tcPr>
            <w:tcW w:w="644" w:type="dxa"/>
            <w:noWrap/>
            <w:vAlign w:val="center"/>
            <w:hideMark/>
          </w:tcPr>
          <w:p w14:paraId="6A09487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-3.5</w:t>
            </w:r>
          </w:p>
        </w:tc>
        <w:tc>
          <w:tcPr>
            <w:tcW w:w="2552" w:type="dxa"/>
            <w:noWrap/>
            <w:vAlign w:val="center"/>
            <w:hideMark/>
          </w:tcPr>
          <w:p w14:paraId="012D266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Inosine</w:t>
            </w:r>
          </w:p>
        </w:tc>
        <w:tc>
          <w:tcPr>
            <w:tcW w:w="1276" w:type="dxa"/>
            <w:noWrap/>
            <w:vAlign w:val="center"/>
            <w:hideMark/>
          </w:tcPr>
          <w:p w14:paraId="3C26902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10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</w:t>
            </w:r>
          </w:p>
        </w:tc>
        <w:tc>
          <w:tcPr>
            <w:tcW w:w="992" w:type="dxa"/>
            <w:noWrap/>
            <w:vAlign w:val="center"/>
            <w:hideMark/>
          </w:tcPr>
          <w:p w14:paraId="2E7559D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6703CC4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1.12</w:t>
            </w:r>
          </w:p>
        </w:tc>
        <w:tc>
          <w:tcPr>
            <w:tcW w:w="977" w:type="dxa"/>
            <w:noWrap/>
            <w:vAlign w:val="center"/>
            <w:hideMark/>
          </w:tcPr>
          <w:p w14:paraId="17C12E8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2.70E-02</w:t>
            </w:r>
          </w:p>
        </w:tc>
        <w:tc>
          <w:tcPr>
            <w:tcW w:w="866" w:type="dxa"/>
            <w:noWrap/>
            <w:vAlign w:val="center"/>
            <w:hideMark/>
          </w:tcPr>
          <w:p w14:paraId="69224C8D" w14:textId="77777777" w:rsidR="00461B41" w:rsidRPr="00461B41" w:rsidRDefault="00461B41" w:rsidP="00461B41">
            <w:pPr>
              <w:widowControl/>
              <w:adjustRightInd w:val="0"/>
              <w:snapToGrid w:val="0"/>
              <w:ind w:firstLine="420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1134" w:type="dxa"/>
            <w:noWrap/>
            <w:vAlign w:val="center"/>
            <w:hideMark/>
          </w:tcPr>
          <w:p w14:paraId="63DFABD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2901" w:type="dxa"/>
            <w:noWrap/>
            <w:vAlign w:val="center"/>
            <w:hideMark/>
          </w:tcPr>
          <w:p w14:paraId="16CF4EA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Purine metabolism</w:t>
            </w:r>
          </w:p>
        </w:tc>
      </w:tr>
      <w:tr w:rsidR="00461B41" w:rsidRPr="00461B41" w14:paraId="723BC45E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4B52771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14</w:t>
            </w:r>
          </w:p>
        </w:tc>
        <w:tc>
          <w:tcPr>
            <w:tcW w:w="705" w:type="dxa"/>
            <w:noWrap/>
            <w:vAlign w:val="center"/>
            <w:hideMark/>
          </w:tcPr>
          <w:p w14:paraId="35AF1BF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1.49</w:t>
            </w:r>
          </w:p>
        </w:tc>
        <w:tc>
          <w:tcPr>
            <w:tcW w:w="1067" w:type="dxa"/>
            <w:noWrap/>
            <w:vAlign w:val="center"/>
            <w:hideMark/>
          </w:tcPr>
          <w:p w14:paraId="19D0F3E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157.014</w:t>
            </w:r>
          </w:p>
        </w:tc>
        <w:tc>
          <w:tcPr>
            <w:tcW w:w="644" w:type="dxa"/>
            <w:noWrap/>
            <w:vAlign w:val="center"/>
            <w:hideMark/>
          </w:tcPr>
          <w:p w14:paraId="0029B39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6.1</w:t>
            </w:r>
          </w:p>
        </w:tc>
        <w:tc>
          <w:tcPr>
            <w:tcW w:w="2552" w:type="dxa"/>
            <w:noWrap/>
            <w:vAlign w:val="center"/>
            <w:hideMark/>
          </w:tcPr>
          <w:p w14:paraId="5ADB9D6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Hypoxanthine</w:t>
            </w:r>
          </w:p>
        </w:tc>
        <w:tc>
          <w:tcPr>
            <w:tcW w:w="1276" w:type="dxa"/>
            <w:noWrap/>
            <w:vAlign w:val="center"/>
            <w:hideMark/>
          </w:tcPr>
          <w:p w14:paraId="3632EB7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</w:p>
        </w:tc>
        <w:tc>
          <w:tcPr>
            <w:tcW w:w="992" w:type="dxa"/>
            <w:noWrap/>
            <w:vAlign w:val="center"/>
            <w:hideMark/>
          </w:tcPr>
          <w:p w14:paraId="5A80E59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1DF3A64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1.03</w:t>
            </w:r>
          </w:p>
        </w:tc>
        <w:tc>
          <w:tcPr>
            <w:tcW w:w="977" w:type="dxa"/>
            <w:noWrap/>
            <w:vAlign w:val="center"/>
            <w:hideMark/>
          </w:tcPr>
          <w:p w14:paraId="273E808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3.44E-02</w:t>
            </w:r>
          </w:p>
        </w:tc>
        <w:tc>
          <w:tcPr>
            <w:tcW w:w="866" w:type="dxa"/>
            <w:noWrap/>
            <w:vAlign w:val="center"/>
            <w:hideMark/>
          </w:tcPr>
          <w:p w14:paraId="23D6991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1134" w:type="dxa"/>
            <w:noWrap/>
            <w:vAlign w:val="center"/>
            <w:hideMark/>
          </w:tcPr>
          <w:p w14:paraId="7ABC929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2901" w:type="dxa"/>
            <w:noWrap/>
            <w:vAlign w:val="center"/>
            <w:hideMark/>
          </w:tcPr>
          <w:p w14:paraId="2F51DA9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Purine metabolism</w:t>
            </w:r>
          </w:p>
        </w:tc>
      </w:tr>
      <w:tr w:rsidR="00461B41" w:rsidRPr="00461B41" w14:paraId="2C8F7E9D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79E9517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15</w:t>
            </w:r>
          </w:p>
        </w:tc>
        <w:tc>
          <w:tcPr>
            <w:tcW w:w="705" w:type="dxa"/>
            <w:noWrap/>
            <w:vAlign w:val="center"/>
            <w:hideMark/>
          </w:tcPr>
          <w:p w14:paraId="06E7443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1.49</w:t>
            </w:r>
          </w:p>
        </w:tc>
        <w:tc>
          <w:tcPr>
            <w:tcW w:w="1067" w:type="dxa"/>
            <w:noWrap/>
            <w:vAlign w:val="center"/>
            <w:hideMark/>
          </w:tcPr>
          <w:p w14:paraId="71316AF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180.0671</w:t>
            </w:r>
          </w:p>
        </w:tc>
        <w:tc>
          <w:tcPr>
            <w:tcW w:w="644" w:type="dxa"/>
            <w:noWrap/>
            <w:vAlign w:val="center"/>
            <w:hideMark/>
          </w:tcPr>
          <w:p w14:paraId="0FE1764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2.6</w:t>
            </w:r>
          </w:p>
        </w:tc>
        <w:tc>
          <w:tcPr>
            <w:tcW w:w="2552" w:type="dxa"/>
            <w:noWrap/>
            <w:vAlign w:val="center"/>
            <w:hideMark/>
          </w:tcPr>
          <w:p w14:paraId="57832EA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L-Tyrosine</w:t>
            </w:r>
          </w:p>
        </w:tc>
        <w:tc>
          <w:tcPr>
            <w:tcW w:w="1276" w:type="dxa"/>
            <w:noWrap/>
            <w:vAlign w:val="center"/>
            <w:hideMark/>
          </w:tcPr>
          <w:p w14:paraId="5EA2751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9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11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</w:t>
            </w:r>
          </w:p>
        </w:tc>
        <w:tc>
          <w:tcPr>
            <w:tcW w:w="992" w:type="dxa"/>
            <w:noWrap/>
            <w:vAlign w:val="center"/>
            <w:hideMark/>
          </w:tcPr>
          <w:p w14:paraId="1973EAA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0EFE9C1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1.47</w:t>
            </w:r>
          </w:p>
        </w:tc>
        <w:tc>
          <w:tcPr>
            <w:tcW w:w="977" w:type="dxa"/>
            <w:noWrap/>
            <w:vAlign w:val="center"/>
            <w:hideMark/>
          </w:tcPr>
          <w:p w14:paraId="58B7868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4.93E-05</w:t>
            </w:r>
          </w:p>
        </w:tc>
        <w:tc>
          <w:tcPr>
            <w:tcW w:w="866" w:type="dxa"/>
            <w:noWrap/>
            <w:vAlign w:val="center"/>
            <w:hideMark/>
          </w:tcPr>
          <w:p w14:paraId="13B1F21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2CA23E6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674065D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Tyrosine metabolism</w:t>
            </w:r>
          </w:p>
        </w:tc>
      </w:tr>
      <w:tr w:rsidR="00461B41" w:rsidRPr="00461B41" w14:paraId="73D2D879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17F9058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16</w:t>
            </w:r>
          </w:p>
        </w:tc>
        <w:tc>
          <w:tcPr>
            <w:tcW w:w="705" w:type="dxa"/>
            <w:noWrap/>
            <w:vAlign w:val="center"/>
            <w:hideMark/>
          </w:tcPr>
          <w:p w14:paraId="47560A9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1.76</w:t>
            </w:r>
          </w:p>
        </w:tc>
        <w:tc>
          <w:tcPr>
            <w:tcW w:w="1067" w:type="dxa"/>
            <w:noWrap/>
            <w:vAlign w:val="center"/>
            <w:hideMark/>
          </w:tcPr>
          <w:p w14:paraId="4AE1616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567.1431</w:t>
            </w:r>
          </w:p>
        </w:tc>
        <w:tc>
          <w:tcPr>
            <w:tcW w:w="644" w:type="dxa"/>
            <w:noWrap/>
            <w:vAlign w:val="center"/>
            <w:hideMark/>
          </w:tcPr>
          <w:p w14:paraId="436293B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-1.8</w:t>
            </w:r>
          </w:p>
        </w:tc>
        <w:tc>
          <w:tcPr>
            <w:tcW w:w="2552" w:type="dxa"/>
            <w:noWrap/>
            <w:vAlign w:val="center"/>
            <w:hideMark/>
          </w:tcPr>
          <w:p w14:paraId="37CACC5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proofErr w:type="spellStart"/>
            <w:r w:rsidRPr="00461B41">
              <w:rPr>
                <w:rFonts w:eastAsia="DengXian" w:cs="Times New Roman"/>
                <w:color w:val="000000"/>
                <w:kern w:val="0"/>
              </w:rPr>
              <w:t>Xanthosine</w:t>
            </w:r>
            <w:proofErr w:type="spellEnd"/>
          </w:p>
        </w:tc>
        <w:tc>
          <w:tcPr>
            <w:tcW w:w="1276" w:type="dxa"/>
            <w:noWrap/>
            <w:vAlign w:val="center"/>
            <w:hideMark/>
          </w:tcPr>
          <w:p w14:paraId="7A0F250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10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6</w:t>
            </w:r>
          </w:p>
        </w:tc>
        <w:tc>
          <w:tcPr>
            <w:tcW w:w="992" w:type="dxa"/>
            <w:noWrap/>
            <w:vAlign w:val="center"/>
            <w:hideMark/>
          </w:tcPr>
          <w:p w14:paraId="320BCF6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0A1FE70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1.35</w:t>
            </w:r>
          </w:p>
        </w:tc>
        <w:tc>
          <w:tcPr>
            <w:tcW w:w="977" w:type="dxa"/>
            <w:noWrap/>
            <w:vAlign w:val="center"/>
            <w:hideMark/>
          </w:tcPr>
          <w:p w14:paraId="04EDC34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8.37E-04</w:t>
            </w:r>
          </w:p>
        </w:tc>
        <w:tc>
          <w:tcPr>
            <w:tcW w:w="866" w:type="dxa"/>
            <w:noWrap/>
            <w:vAlign w:val="center"/>
            <w:hideMark/>
          </w:tcPr>
          <w:p w14:paraId="3068E07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427924F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3C8C778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Purine metabolism</w:t>
            </w:r>
          </w:p>
        </w:tc>
      </w:tr>
      <w:tr w:rsidR="00461B41" w:rsidRPr="00461B41" w14:paraId="1E094A6C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7AC7970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17</w:t>
            </w:r>
          </w:p>
        </w:tc>
        <w:tc>
          <w:tcPr>
            <w:tcW w:w="705" w:type="dxa"/>
            <w:noWrap/>
            <w:vAlign w:val="center"/>
            <w:hideMark/>
          </w:tcPr>
          <w:p w14:paraId="55F92E1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1.88</w:t>
            </w:r>
          </w:p>
        </w:tc>
        <w:tc>
          <w:tcPr>
            <w:tcW w:w="1067" w:type="dxa"/>
            <w:noWrap/>
            <w:vAlign w:val="center"/>
            <w:hideMark/>
          </w:tcPr>
          <w:p w14:paraId="53695C9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175.1205</w:t>
            </w:r>
          </w:p>
        </w:tc>
        <w:tc>
          <w:tcPr>
            <w:tcW w:w="644" w:type="dxa"/>
            <w:noWrap/>
            <w:vAlign w:val="center"/>
            <w:hideMark/>
          </w:tcPr>
          <w:p w14:paraId="0C1267A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8.7</w:t>
            </w:r>
          </w:p>
        </w:tc>
        <w:tc>
          <w:tcPr>
            <w:tcW w:w="2552" w:type="dxa"/>
            <w:noWrap/>
            <w:vAlign w:val="center"/>
            <w:hideMark/>
          </w:tcPr>
          <w:p w14:paraId="391F0DC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L-Arginine</w:t>
            </w:r>
          </w:p>
        </w:tc>
        <w:tc>
          <w:tcPr>
            <w:tcW w:w="1276" w:type="dxa"/>
            <w:noWrap/>
            <w:vAlign w:val="center"/>
            <w:hideMark/>
          </w:tcPr>
          <w:p w14:paraId="775FF67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6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</w:t>
            </w:r>
          </w:p>
        </w:tc>
        <w:tc>
          <w:tcPr>
            <w:tcW w:w="992" w:type="dxa"/>
            <w:noWrap/>
            <w:vAlign w:val="center"/>
            <w:hideMark/>
          </w:tcPr>
          <w:p w14:paraId="377EFA0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1D4B1E2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1.42</w:t>
            </w:r>
          </w:p>
        </w:tc>
        <w:tc>
          <w:tcPr>
            <w:tcW w:w="977" w:type="dxa"/>
            <w:noWrap/>
            <w:vAlign w:val="center"/>
            <w:hideMark/>
          </w:tcPr>
          <w:p w14:paraId="65CFE9A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3.52E-04</w:t>
            </w:r>
          </w:p>
        </w:tc>
        <w:tc>
          <w:tcPr>
            <w:tcW w:w="866" w:type="dxa"/>
            <w:noWrap/>
            <w:vAlign w:val="center"/>
            <w:hideMark/>
          </w:tcPr>
          <w:p w14:paraId="7443635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5846D8D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2901" w:type="dxa"/>
            <w:noWrap/>
            <w:vAlign w:val="center"/>
            <w:hideMark/>
          </w:tcPr>
          <w:p w14:paraId="30FABBF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Arginine biosynthesis</w:t>
            </w:r>
          </w:p>
        </w:tc>
      </w:tr>
      <w:tr w:rsidR="00461B41" w:rsidRPr="00461B41" w14:paraId="37CB43F1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6578CF5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18</w:t>
            </w:r>
          </w:p>
        </w:tc>
        <w:tc>
          <w:tcPr>
            <w:tcW w:w="705" w:type="dxa"/>
            <w:noWrap/>
            <w:vAlign w:val="center"/>
            <w:hideMark/>
          </w:tcPr>
          <w:p w14:paraId="66B7796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1.95</w:t>
            </w:r>
          </w:p>
        </w:tc>
        <w:tc>
          <w:tcPr>
            <w:tcW w:w="1067" w:type="dxa"/>
            <w:noWrap/>
            <w:vAlign w:val="center"/>
            <w:hideMark/>
          </w:tcPr>
          <w:p w14:paraId="27BA1A4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495.0879</w:t>
            </w:r>
          </w:p>
        </w:tc>
        <w:tc>
          <w:tcPr>
            <w:tcW w:w="644" w:type="dxa"/>
            <w:noWrap/>
            <w:vAlign w:val="center"/>
            <w:hideMark/>
          </w:tcPr>
          <w:p w14:paraId="298DBFF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-1.9</w:t>
            </w:r>
          </w:p>
        </w:tc>
        <w:tc>
          <w:tcPr>
            <w:tcW w:w="2552" w:type="dxa"/>
            <w:noWrap/>
            <w:vAlign w:val="center"/>
            <w:hideMark/>
          </w:tcPr>
          <w:p w14:paraId="3E0997A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CDP-glycerol</w:t>
            </w:r>
          </w:p>
        </w:tc>
        <w:tc>
          <w:tcPr>
            <w:tcW w:w="1276" w:type="dxa"/>
            <w:noWrap/>
            <w:vAlign w:val="center"/>
            <w:hideMark/>
          </w:tcPr>
          <w:p w14:paraId="110CD63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21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13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P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</w:t>
            </w:r>
          </w:p>
        </w:tc>
        <w:tc>
          <w:tcPr>
            <w:tcW w:w="992" w:type="dxa"/>
            <w:noWrap/>
            <w:vAlign w:val="center"/>
            <w:hideMark/>
          </w:tcPr>
          <w:p w14:paraId="3482B3F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153E656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1.19</w:t>
            </w:r>
          </w:p>
        </w:tc>
        <w:tc>
          <w:tcPr>
            <w:tcW w:w="977" w:type="dxa"/>
            <w:noWrap/>
            <w:vAlign w:val="center"/>
            <w:hideMark/>
          </w:tcPr>
          <w:p w14:paraId="15C5822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4.98E-03</w:t>
            </w:r>
          </w:p>
        </w:tc>
        <w:tc>
          <w:tcPr>
            <w:tcW w:w="866" w:type="dxa"/>
            <w:noWrap/>
            <w:vAlign w:val="center"/>
            <w:hideMark/>
          </w:tcPr>
          <w:p w14:paraId="551FDD0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42701A5B" w14:textId="77777777" w:rsidR="00461B41" w:rsidRPr="00461B41" w:rsidRDefault="00461B41" w:rsidP="00461B41">
            <w:pPr>
              <w:ind w:firstLineChars="0" w:firstLine="0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2901" w:type="dxa"/>
            <w:noWrap/>
            <w:vAlign w:val="center"/>
            <w:hideMark/>
          </w:tcPr>
          <w:p w14:paraId="61AFFEB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1BC92A7D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0BFA346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19</w:t>
            </w:r>
          </w:p>
        </w:tc>
        <w:tc>
          <w:tcPr>
            <w:tcW w:w="705" w:type="dxa"/>
            <w:noWrap/>
            <w:vAlign w:val="center"/>
            <w:hideMark/>
          </w:tcPr>
          <w:p w14:paraId="18B8B0E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2.39</w:t>
            </w:r>
          </w:p>
        </w:tc>
        <w:tc>
          <w:tcPr>
            <w:tcW w:w="1067" w:type="dxa"/>
            <w:noWrap/>
            <w:vAlign w:val="center"/>
            <w:hideMark/>
          </w:tcPr>
          <w:p w14:paraId="0066655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205.0985</w:t>
            </w:r>
          </w:p>
        </w:tc>
        <w:tc>
          <w:tcPr>
            <w:tcW w:w="644" w:type="dxa"/>
            <w:noWrap/>
            <w:vAlign w:val="center"/>
            <w:hideMark/>
          </w:tcPr>
          <w:p w14:paraId="734A2D3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6.6</w:t>
            </w:r>
          </w:p>
        </w:tc>
        <w:tc>
          <w:tcPr>
            <w:tcW w:w="2552" w:type="dxa"/>
            <w:noWrap/>
            <w:vAlign w:val="center"/>
            <w:hideMark/>
          </w:tcPr>
          <w:p w14:paraId="7FB49D4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L-Tryptophan</w:t>
            </w:r>
          </w:p>
        </w:tc>
        <w:tc>
          <w:tcPr>
            <w:tcW w:w="1276" w:type="dxa"/>
            <w:noWrap/>
            <w:vAlign w:val="center"/>
            <w:hideMark/>
          </w:tcPr>
          <w:p w14:paraId="4F03556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11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</w:t>
            </w:r>
          </w:p>
        </w:tc>
        <w:tc>
          <w:tcPr>
            <w:tcW w:w="992" w:type="dxa"/>
            <w:noWrap/>
            <w:vAlign w:val="center"/>
            <w:hideMark/>
          </w:tcPr>
          <w:p w14:paraId="4DF161A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403C5E2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1.43</w:t>
            </w:r>
          </w:p>
        </w:tc>
        <w:tc>
          <w:tcPr>
            <w:tcW w:w="977" w:type="dxa"/>
            <w:noWrap/>
            <w:vAlign w:val="center"/>
            <w:hideMark/>
          </w:tcPr>
          <w:p w14:paraId="66F5864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2.75E-04</w:t>
            </w:r>
          </w:p>
        </w:tc>
        <w:tc>
          <w:tcPr>
            <w:tcW w:w="866" w:type="dxa"/>
            <w:noWrap/>
            <w:vAlign w:val="center"/>
            <w:hideMark/>
          </w:tcPr>
          <w:p w14:paraId="742DA99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16CFBE21" w14:textId="77777777" w:rsidR="00461B41" w:rsidRPr="00461B41" w:rsidRDefault="00461B41" w:rsidP="00461B41">
            <w:pPr>
              <w:ind w:firstLineChars="0" w:firstLine="0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2901" w:type="dxa"/>
            <w:noWrap/>
            <w:vAlign w:val="center"/>
            <w:hideMark/>
          </w:tcPr>
          <w:p w14:paraId="3ABDBB5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Tryptophan metabolism</w:t>
            </w:r>
          </w:p>
        </w:tc>
      </w:tr>
      <w:tr w:rsidR="00461B41" w:rsidRPr="00461B41" w14:paraId="3A3CE13D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0F6FB92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20</w:t>
            </w:r>
          </w:p>
        </w:tc>
        <w:tc>
          <w:tcPr>
            <w:tcW w:w="705" w:type="dxa"/>
            <w:noWrap/>
            <w:vAlign w:val="center"/>
            <w:hideMark/>
          </w:tcPr>
          <w:p w14:paraId="4C1DF7E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2.4</w:t>
            </w:r>
          </w:p>
        </w:tc>
        <w:tc>
          <w:tcPr>
            <w:tcW w:w="1067" w:type="dxa"/>
            <w:noWrap/>
            <w:vAlign w:val="center"/>
            <w:hideMark/>
          </w:tcPr>
          <w:p w14:paraId="34BC861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381.0737</w:t>
            </w:r>
          </w:p>
        </w:tc>
        <w:tc>
          <w:tcPr>
            <w:tcW w:w="644" w:type="dxa"/>
            <w:noWrap/>
            <w:vAlign w:val="center"/>
            <w:hideMark/>
          </w:tcPr>
          <w:p w14:paraId="3F707E5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-16.7</w:t>
            </w:r>
          </w:p>
        </w:tc>
        <w:tc>
          <w:tcPr>
            <w:tcW w:w="2552" w:type="dxa"/>
            <w:noWrap/>
            <w:vAlign w:val="center"/>
            <w:hideMark/>
          </w:tcPr>
          <w:p w14:paraId="59AB979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Melibiose</w:t>
            </w:r>
          </w:p>
        </w:tc>
        <w:tc>
          <w:tcPr>
            <w:tcW w:w="1276" w:type="dxa"/>
            <w:noWrap/>
            <w:vAlign w:val="center"/>
            <w:hideMark/>
          </w:tcPr>
          <w:p w14:paraId="26E42AD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11</w:t>
            </w:r>
          </w:p>
        </w:tc>
        <w:tc>
          <w:tcPr>
            <w:tcW w:w="992" w:type="dxa"/>
            <w:noWrap/>
            <w:vAlign w:val="center"/>
            <w:hideMark/>
          </w:tcPr>
          <w:p w14:paraId="1A4D4F6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22EC0A9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1.29</w:t>
            </w:r>
          </w:p>
        </w:tc>
        <w:tc>
          <w:tcPr>
            <w:tcW w:w="977" w:type="dxa"/>
            <w:noWrap/>
            <w:vAlign w:val="center"/>
            <w:hideMark/>
          </w:tcPr>
          <w:p w14:paraId="545E48F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6.68E-03</w:t>
            </w:r>
          </w:p>
        </w:tc>
        <w:tc>
          <w:tcPr>
            <w:tcW w:w="866" w:type="dxa"/>
            <w:noWrap/>
            <w:vAlign w:val="center"/>
            <w:hideMark/>
          </w:tcPr>
          <w:p w14:paraId="402157D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5A328F9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2901" w:type="dxa"/>
            <w:noWrap/>
            <w:vAlign w:val="center"/>
            <w:hideMark/>
          </w:tcPr>
          <w:p w14:paraId="60BC7E0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Galactose metabolism</w:t>
            </w:r>
          </w:p>
        </w:tc>
      </w:tr>
      <w:tr w:rsidR="00461B41" w:rsidRPr="00461B41" w14:paraId="12FC218C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4C99A83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21</w:t>
            </w:r>
          </w:p>
        </w:tc>
        <w:tc>
          <w:tcPr>
            <w:tcW w:w="705" w:type="dxa"/>
            <w:noWrap/>
            <w:vAlign w:val="center"/>
            <w:hideMark/>
          </w:tcPr>
          <w:p w14:paraId="3DD6412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5.22</w:t>
            </w:r>
          </w:p>
        </w:tc>
        <w:tc>
          <w:tcPr>
            <w:tcW w:w="1067" w:type="dxa"/>
            <w:noWrap/>
            <w:vAlign w:val="center"/>
            <w:hideMark/>
          </w:tcPr>
          <w:p w14:paraId="5F8D8D5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657.5697</w:t>
            </w:r>
          </w:p>
        </w:tc>
        <w:tc>
          <w:tcPr>
            <w:tcW w:w="644" w:type="dxa"/>
            <w:noWrap/>
            <w:vAlign w:val="center"/>
            <w:hideMark/>
          </w:tcPr>
          <w:p w14:paraId="54733FB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-8.7</w:t>
            </w:r>
          </w:p>
        </w:tc>
        <w:tc>
          <w:tcPr>
            <w:tcW w:w="2552" w:type="dxa"/>
            <w:noWrap/>
            <w:vAlign w:val="center"/>
            <w:hideMark/>
          </w:tcPr>
          <w:p w14:paraId="645FD01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proofErr w:type="spellStart"/>
            <w:r w:rsidRPr="00461B41">
              <w:rPr>
                <w:rFonts w:eastAsia="DengXian" w:cs="Times New Roman"/>
                <w:color w:val="000000"/>
                <w:kern w:val="0"/>
              </w:rPr>
              <w:t>Phytosphingosine</w:t>
            </w:r>
            <w:proofErr w:type="spellEnd"/>
          </w:p>
        </w:tc>
        <w:tc>
          <w:tcPr>
            <w:tcW w:w="1276" w:type="dxa"/>
            <w:noWrap/>
            <w:vAlign w:val="center"/>
            <w:hideMark/>
          </w:tcPr>
          <w:p w14:paraId="4ABE7A7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18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39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</w:t>
            </w:r>
          </w:p>
        </w:tc>
        <w:tc>
          <w:tcPr>
            <w:tcW w:w="992" w:type="dxa"/>
            <w:noWrap/>
            <w:vAlign w:val="center"/>
            <w:hideMark/>
          </w:tcPr>
          <w:p w14:paraId="086DE47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7AE2F8B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1.53</w:t>
            </w:r>
          </w:p>
        </w:tc>
        <w:tc>
          <w:tcPr>
            <w:tcW w:w="977" w:type="dxa"/>
            <w:noWrap/>
            <w:vAlign w:val="center"/>
            <w:hideMark/>
          </w:tcPr>
          <w:p w14:paraId="706C102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2.30E-04</w:t>
            </w:r>
          </w:p>
        </w:tc>
        <w:tc>
          <w:tcPr>
            <w:tcW w:w="866" w:type="dxa"/>
            <w:noWrap/>
            <w:vAlign w:val="center"/>
            <w:hideMark/>
          </w:tcPr>
          <w:p w14:paraId="7CB5285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4CD9B95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57A93FA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Sphingolipid metabolism</w:t>
            </w:r>
          </w:p>
        </w:tc>
      </w:tr>
      <w:tr w:rsidR="00461B41" w:rsidRPr="00461B41" w14:paraId="629E2DF5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6D9FA19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22</w:t>
            </w:r>
          </w:p>
        </w:tc>
        <w:tc>
          <w:tcPr>
            <w:tcW w:w="705" w:type="dxa"/>
            <w:noWrap/>
            <w:vAlign w:val="center"/>
            <w:hideMark/>
          </w:tcPr>
          <w:p w14:paraId="200724B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5.63</w:t>
            </w:r>
          </w:p>
        </w:tc>
        <w:tc>
          <w:tcPr>
            <w:tcW w:w="1067" w:type="dxa"/>
            <w:noWrap/>
            <w:vAlign w:val="center"/>
            <w:hideMark/>
          </w:tcPr>
          <w:p w14:paraId="4D18CB9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351.2185</w:t>
            </w:r>
          </w:p>
        </w:tc>
        <w:tc>
          <w:tcPr>
            <w:tcW w:w="644" w:type="dxa"/>
            <w:noWrap/>
            <w:vAlign w:val="center"/>
            <w:hideMark/>
          </w:tcPr>
          <w:p w14:paraId="4B4809E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2.4</w:t>
            </w:r>
          </w:p>
        </w:tc>
        <w:tc>
          <w:tcPr>
            <w:tcW w:w="2552" w:type="dxa"/>
            <w:noWrap/>
            <w:vAlign w:val="center"/>
            <w:hideMark/>
          </w:tcPr>
          <w:p w14:paraId="25B16BF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Prostaglandin E2</w:t>
            </w:r>
          </w:p>
        </w:tc>
        <w:tc>
          <w:tcPr>
            <w:tcW w:w="1276" w:type="dxa"/>
            <w:noWrap/>
            <w:vAlign w:val="center"/>
            <w:hideMark/>
          </w:tcPr>
          <w:p w14:paraId="2286C1C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20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</w:t>
            </w:r>
          </w:p>
        </w:tc>
        <w:tc>
          <w:tcPr>
            <w:tcW w:w="992" w:type="dxa"/>
            <w:noWrap/>
            <w:vAlign w:val="center"/>
            <w:hideMark/>
          </w:tcPr>
          <w:p w14:paraId="26C50F9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70F2F57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1.36</w:t>
            </w:r>
          </w:p>
        </w:tc>
        <w:tc>
          <w:tcPr>
            <w:tcW w:w="977" w:type="dxa"/>
            <w:noWrap/>
            <w:vAlign w:val="center"/>
            <w:hideMark/>
          </w:tcPr>
          <w:p w14:paraId="33BF63C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9.77E-04</w:t>
            </w:r>
          </w:p>
        </w:tc>
        <w:tc>
          <w:tcPr>
            <w:tcW w:w="866" w:type="dxa"/>
            <w:noWrap/>
            <w:vAlign w:val="center"/>
            <w:hideMark/>
          </w:tcPr>
          <w:p w14:paraId="506437F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2FC2E02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621F376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Arachidonic acid metabolism</w:t>
            </w:r>
          </w:p>
        </w:tc>
      </w:tr>
      <w:tr w:rsidR="00461B41" w:rsidRPr="00461B41" w14:paraId="23E8815F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6955F64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23</w:t>
            </w:r>
          </w:p>
        </w:tc>
        <w:tc>
          <w:tcPr>
            <w:tcW w:w="705" w:type="dxa"/>
            <w:noWrap/>
            <w:vAlign w:val="center"/>
            <w:hideMark/>
          </w:tcPr>
          <w:p w14:paraId="21D5FFA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7.05</w:t>
            </w:r>
          </w:p>
        </w:tc>
        <w:tc>
          <w:tcPr>
            <w:tcW w:w="1067" w:type="dxa"/>
            <w:noWrap/>
            <w:vAlign w:val="center"/>
            <w:hideMark/>
          </w:tcPr>
          <w:p w14:paraId="29BE495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339.2036</w:t>
            </w:r>
          </w:p>
        </w:tc>
        <w:tc>
          <w:tcPr>
            <w:tcW w:w="644" w:type="dxa"/>
            <w:noWrap/>
            <w:vAlign w:val="center"/>
            <w:hideMark/>
          </w:tcPr>
          <w:p w14:paraId="040F8E7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-19.7</w:t>
            </w:r>
          </w:p>
        </w:tc>
        <w:tc>
          <w:tcPr>
            <w:tcW w:w="2552" w:type="dxa"/>
            <w:noWrap/>
            <w:vAlign w:val="center"/>
            <w:hideMark/>
          </w:tcPr>
          <w:p w14:paraId="63D9C74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Arachidonic acid</w:t>
            </w:r>
          </w:p>
        </w:tc>
        <w:tc>
          <w:tcPr>
            <w:tcW w:w="1276" w:type="dxa"/>
            <w:noWrap/>
            <w:vAlign w:val="center"/>
            <w:hideMark/>
          </w:tcPr>
          <w:p w14:paraId="34BF747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20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</w:t>
            </w:r>
          </w:p>
        </w:tc>
        <w:tc>
          <w:tcPr>
            <w:tcW w:w="992" w:type="dxa"/>
            <w:noWrap/>
            <w:vAlign w:val="center"/>
            <w:hideMark/>
          </w:tcPr>
          <w:p w14:paraId="2FE2F7F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3150255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1.38</w:t>
            </w:r>
          </w:p>
        </w:tc>
        <w:tc>
          <w:tcPr>
            <w:tcW w:w="977" w:type="dxa"/>
            <w:noWrap/>
            <w:vAlign w:val="center"/>
            <w:hideMark/>
          </w:tcPr>
          <w:p w14:paraId="6AB617B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1.88E-03</w:t>
            </w:r>
          </w:p>
        </w:tc>
        <w:tc>
          <w:tcPr>
            <w:tcW w:w="866" w:type="dxa"/>
            <w:noWrap/>
            <w:vAlign w:val="center"/>
            <w:hideMark/>
          </w:tcPr>
          <w:p w14:paraId="66B85A1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4963F37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2901" w:type="dxa"/>
            <w:noWrap/>
            <w:vAlign w:val="center"/>
            <w:hideMark/>
          </w:tcPr>
          <w:p w14:paraId="1A7F623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Arachidonic acid metabolism</w:t>
            </w:r>
          </w:p>
        </w:tc>
      </w:tr>
      <w:tr w:rsidR="00461B41" w:rsidRPr="00461B41" w14:paraId="36D23224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29B7F0B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24</w:t>
            </w:r>
          </w:p>
        </w:tc>
        <w:tc>
          <w:tcPr>
            <w:tcW w:w="705" w:type="dxa"/>
            <w:noWrap/>
            <w:vAlign w:val="center"/>
            <w:hideMark/>
          </w:tcPr>
          <w:p w14:paraId="109AF9E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7.5</w:t>
            </w:r>
          </w:p>
        </w:tc>
        <w:tc>
          <w:tcPr>
            <w:tcW w:w="1067" w:type="dxa"/>
            <w:noWrap/>
            <w:vAlign w:val="center"/>
            <w:hideMark/>
          </w:tcPr>
          <w:p w14:paraId="2471965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264.2688</w:t>
            </w:r>
          </w:p>
        </w:tc>
        <w:tc>
          <w:tcPr>
            <w:tcW w:w="644" w:type="dxa"/>
            <w:noWrap/>
            <w:vAlign w:val="center"/>
            <w:hideMark/>
          </w:tcPr>
          <w:p w14:paraId="34A2554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0.8</w:t>
            </w:r>
          </w:p>
        </w:tc>
        <w:tc>
          <w:tcPr>
            <w:tcW w:w="2552" w:type="dxa"/>
            <w:noWrap/>
            <w:vAlign w:val="center"/>
            <w:hideMark/>
          </w:tcPr>
          <w:p w14:paraId="52ADBF4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Sphingosine</w:t>
            </w:r>
          </w:p>
        </w:tc>
        <w:tc>
          <w:tcPr>
            <w:tcW w:w="1276" w:type="dxa"/>
            <w:noWrap/>
            <w:vAlign w:val="center"/>
            <w:hideMark/>
          </w:tcPr>
          <w:p w14:paraId="6E8F319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18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37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</w:t>
            </w:r>
          </w:p>
        </w:tc>
        <w:tc>
          <w:tcPr>
            <w:tcW w:w="992" w:type="dxa"/>
            <w:noWrap/>
            <w:vAlign w:val="center"/>
            <w:hideMark/>
          </w:tcPr>
          <w:p w14:paraId="066EA6A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5DFB45A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1.38</w:t>
            </w:r>
          </w:p>
        </w:tc>
        <w:tc>
          <w:tcPr>
            <w:tcW w:w="977" w:type="dxa"/>
            <w:noWrap/>
            <w:vAlign w:val="center"/>
            <w:hideMark/>
          </w:tcPr>
          <w:p w14:paraId="0BAB14D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8.64E-04</w:t>
            </w:r>
          </w:p>
        </w:tc>
        <w:tc>
          <w:tcPr>
            <w:tcW w:w="866" w:type="dxa"/>
            <w:noWrap/>
            <w:vAlign w:val="center"/>
            <w:hideMark/>
          </w:tcPr>
          <w:p w14:paraId="3D4B76C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1317FDF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1A75DDF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Sphingolipid metabolism</w:t>
            </w:r>
          </w:p>
        </w:tc>
      </w:tr>
      <w:tr w:rsidR="00461B41" w:rsidRPr="00461B41" w14:paraId="48218381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38DA52E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25</w:t>
            </w:r>
          </w:p>
        </w:tc>
        <w:tc>
          <w:tcPr>
            <w:tcW w:w="705" w:type="dxa"/>
            <w:noWrap/>
            <w:vAlign w:val="center"/>
            <w:hideMark/>
          </w:tcPr>
          <w:p w14:paraId="2AAAB71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7.74</w:t>
            </w:r>
          </w:p>
        </w:tc>
        <w:tc>
          <w:tcPr>
            <w:tcW w:w="1067" w:type="dxa"/>
            <w:noWrap/>
            <w:vAlign w:val="center"/>
            <w:hideMark/>
          </w:tcPr>
          <w:p w14:paraId="723DD08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457.2369</w:t>
            </w:r>
          </w:p>
        </w:tc>
        <w:tc>
          <w:tcPr>
            <w:tcW w:w="644" w:type="dxa"/>
            <w:noWrap/>
            <w:vAlign w:val="center"/>
            <w:hideMark/>
          </w:tcPr>
          <w:p w14:paraId="4875C49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-18.6</w:t>
            </w:r>
          </w:p>
        </w:tc>
        <w:tc>
          <w:tcPr>
            <w:tcW w:w="2552" w:type="dxa"/>
            <w:noWrap/>
            <w:vAlign w:val="center"/>
            <w:hideMark/>
          </w:tcPr>
          <w:p w14:paraId="69032D3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proofErr w:type="spellStart"/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LysoPC</w:t>
            </w:r>
            <w:proofErr w:type="spellEnd"/>
            <w:r w:rsidRPr="00461B41">
              <w:rPr>
                <w:rFonts w:eastAsia="DengXian" w:cs="Times New Roman"/>
                <w:color w:val="000000"/>
                <w:kern w:val="0"/>
              </w:rPr>
              <w:t>(</w:t>
            </w:r>
            <w:proofErr w:type="gramEnd"/>
            <w:r w:rsidRPr="00461B41">
              <w:rPr>
                <w:rFonts w:eastAsia="DengXian" w:cs="Times New Roman"/>
                <w:color w:val="000000"/>
                <w:kern w:val="0"/>
              </w:rPr>
              <w:t>10:0)</w:t>
            </w:r>
          </w:p>
        </w:tc>
        <w:tc>
          <w:tcPr>
            <w:tcW w:w="1276" w:type="dxa"/>
            <w:noWrap/>
            <w:vAlign w:val="center"/>
            <w:hideMark/>
          </w:tcPr>
          <w:p w14:paraId="39EA93D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18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39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7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P+</w:t>
            </w:r>
          </w:p>
        </w:tc>
        <w:tc>
          <w:tcPr>
            <w:tcW w:w="992" w:type="dxa"/>
            <w:noWrap/>
            <w:vAlign w:val="center"/>
            <w:hideMark/>
          </w:tcPr>
          <w:p w14:paraId="77355D9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555356B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1.5</w:t>
            </w:r>
          </w:p>
        </w:tc>
        <w:tc>
          <w:tcPr>
            <w:tcW w:w="977" w:type="dxa"/>
            <w:noWrap/>
            <w:vAlign w:val="center"/>
            <w:hideMark/>
          </w:tcPr>
          <w:p w14:paraId="7931CE6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9.01E-06</w:t>
            </w:r>
          </w:p>
        </w:tc>
        <w:tc>
          <w:tcPr>
            <w:tcW w:w="866" w:type="dxa"/>
            <w:noWrap/>
            <w:vAlign w:val="center"/>
            <w:hideMark/>
          </w:tcPr>
          <w:p w14:paraId="06C7C97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3988ACE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4B5CF4A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3FED5564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48BEBC7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26</w:t>
            </w:r>
          </w:p>
        </w:tc>
        <w:tc>
          <w:tcPr>
            <w:tcW w:w="705" w:type="dxa"/>
            <w:noWrap/>
            <w:vAlign w:val="center"/>
            <w:hideMark/>
          </w:tcPr>
          <w:p w14:paraId="5851CBF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7.74</w:t>
            </w:r>
          </w:p>
        </w:tc>
        <w:tc>
          <w:tcPr>
            <w:tcW w:w="1067" w:type="dxa"/>
            <w:noWrap/>
            <w:vAlign w:val="center"/>
            <w:hideMark/>
          </w:tcPr>
          <w:p w14:paraId="550ACAA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596.4016</w:t>
            </w:r>
          </w:p>
        </w:tc>
        <w:tc>
          <w:tcPr>
            <w:tcW w:w="644" w:type="dxa"/>
            <w:noWrap/>
            <w:vAlign w:val="center"/>
            <w:hideMark/>
          </w:tcPr>
          <w:p w14:paraId="1A0D2F2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15</w:t>
            </w:r>
          </w:p>
        </w:tc>
        <w:tc>
          <w:tcPr>
            <w:tcW w:w="2552" w:type="dxa"/>
            <w:noWrap/>
            <w:vAlign w:val="center"/>
            <w:hideMark/>
          </w:tcPr>
          <w:p w14:paraId="06D7A84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proofErr w:type="spellStart"/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LysoPC</w:t>
            </w:r>
            <w:proofErr w:type="spellEnd"/>
            <w:r w:rsidRPr="00461B41">
              <w:rPr>
                <w:rFonts w:eastAsia="DengXian" w:cs="Times New Roman"/>
                <w:color w:val="000000"/>
                <w:kern w:val="0"/>
              </w:rPr>
              <w:t>(</w:t>
            </w:r>
            <w:proofErr w:type="gramEnd"/>
            <w:r w:rsidRPr="00461B41">
              <w:rPr>
                <w:rFonts w:eastAsia="DengXian" w:cs="Times New Roman"/>
                <w:color w:val="000000"/>
                <w:kern w:val="0"/>
              </w:rPr>
              <w:t>20:0)</w:t>
            </w:r>
          </w:p>
        </w:tc>
        <w:tc>
          <w:tcPr>
            <w:tcW w:w="1276" w:type="dxa"/>
            <w:noWrap/>
            <w:vAlign w:val="center"/>
            <w:hideMark/>
          </w:tcPr>
          <w:p w14:paraId="1A5F072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28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58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7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P</w:t>
            </w:r>
          </w:p>
        </w:tc>
        <w:tc>
          <w:tcPr>
            <w:tcW w:w="992" w:type="dxa"/>
            <w:noWrap/>
            <w:vAlign w:val="center"/>
            <w:hideMark/>
          </w:tcPr>
          <w:p w14:paraId="4AA243D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4E10DBA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1.49</w:t>
            </w:r>
          </w:p>
        </w:tc>
        <w:tc>
          <w:tcPr>
            <w:tcW w:w="977" w:type="dxa"/>
            <w:noWrap/>
            <w:vAlign w:val="center"/>
            <w:hideMark/>
          </w:tcPr>
          <w:p w14:paraId="77C6917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4.55E-04</w:t>
            </w:r>
          </w:p>
        </w:tc>
        <w:tc>
          <w:tcPr>
            <w:tcW w:w="866" w:type="dxa"/>
            <w:noWrap/>
            <w:vAlign w:val="center"/>
            <w:hideMark/>
          </w:tcPr>
          <w:p w14:paraId="17C87F1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01C079F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2901" w:type="dxa"/>
            <w:noWrap/>
            <w:vAlign w:val="center"/>
            <w:hideMark/>
          </w:tcPr>
          <w:p w14:paraId="5014903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1B18337C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0EF1ABC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27</w:t>
            </w:r>
          </w:p>
        </w:tc>
        <w:tc>
          <w:tcPr>
            <w:tcW w:w="705" w:type="dxa"/>
            <w:noWrap/>
            <w:vAlign w:val="center"/>
            <w:hideMark/>
          </w:tcPr>
          <w:p w14:paraId="6857D1F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7.88</w:t>
            </w:r>
          </w:p>
        </w:tc>
        <w:tc>
          <w:tcPr>
            <w:tcW w:w="1067" w:type="dxa"/>
            <w:noWrap/>
            <w:vAlign w:val="center"/>
            <w:hideMark/>
          </w:tcPr>
          <w:p w14:paraId="0C1E3D4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255.2334</w:t>
            </w:r>
          </w:p>
        </w:tc>
        <w:tc>
          <w:tcPr>
            <w:tcW w:w="644" w:type="dxa"/>
            <w:noWrap/>
            <w:vAlign w:val="center"/>
            <w:hideMark/>
          </w:tcPr>
          <w:p w14:paraId="7F20C89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1.8</w:t>
            </w:r>
          </w:p>
        </w:tc>
        <w:tc>
          <w:tcPr>
            <w:tcW w:w="2552" w:type="dxa"/>
            <w:noWrap/>
            <w:vAlign w:val="center"/>
            <w:hideMark/>
          </w:tcPr>
          <w:p w14:paraId="27BD45B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Palmitic acid</w:t>
            </w:r>
          </w:p>
        </w:tc>
        <w:tc>
          <w:tcPr>
            <w:tcW w:w="1276" w:type="dxa"/>
            <w:noWrap/>
            <w:vAlign w:val="center"/>
            <w:hideMark/>
          </w:tcPr>
          <w:p w14:paraId="2328621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16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</w:t>
            </w:r>
          </w:p>
        </w:tc>
        <w:tc>
          <w:tcPr>
            <w:tcW w:w="992" w:type="dxa"/>
            <w:noWrap/>
            <w:vAlign w:val="center"/>
            <w:hideMark/>
          </w:tcPr>
          <w:p w14:paraId="5F48A3D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00C2368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1.1</w:t>
            </w:r>
          </w:p>
        </w:tc>
        <w:tc>
          <w:tcPr>
            <w:tcW w:w="977" w:type="dxa"/>
            <w:noWrap/>
            <w:vAlign w:val="center"/>
            <w:hideMark/>
          </w:tcPr>
          <w:p w14:paraId="35B21D6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1.88E-02</w:t>
            </w:r>
          </w:p>
        </w:tc>
        <w:tc>
          <w:tcPr>
            <w:tcW w:w="866" w:type="dxa"/>
            <w:noWrap/>
            <w:vAlign w:val="center"/>
            <w:hideMark/>
          </w:tcPr>
          <w:p w14:paraId="0D1EBBC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1134" w:type="dxa"/>
            <w:noWrap/>
            <w:vAlign w:val="center"/>
            <w:hideMark/>
          </w:tcPr>
          <w:p w14:paraId="6F16B1E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54B411B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Fatty acid biosynthesis</w:t>
            </w:r>
          </w:p>
        </w:tc>
      </w:tr>
      <w:tr w:rsidR="00461B41" w:rsidRPr="00461B41" w14:paraId="72BE1074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0A7BD0A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28</w:t>
            </w:r>
          </w:p>
        </w:tc>
        <w:tc>
          <w:tcPr>
            <w:tcW w:w="705" w:type="dxa"/>
            <w:noWrap/>
            <w:vAlign w:val="center"/>
            <w:hideMark/>
          </w:tcPr>
          <w:p w14:paraId="4B00376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7.98</w:t>
            </w:r>
          </w:p>
        </w:tc>
        <w:tc>
          <w:tcPr>
            <w:tcW w:w="1067" w:type="dxa"/>
            <w:noWrap/>
            <w:vAlign w:val="center"/>
            <w:hideMark/>
          </w:tcPr>
          <w:p w14:paraId="625A9F7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258.1125</w:t>
            </w:r>
          </w:p>
        </w:tc>
        <w:tc>
          <w:tcPr>
            <w:tcW w:w="644" w:type="dxa"/>
            <w:noWrap/>
            <w:vAlign w:val="center"/>
            <w:hideMark/>
          </w:tcPr>
          <w:p w14:paraId="49A3AC4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9.4</w:t>
            </w:r>
          </w:p>
        </w:tc>
        <w:tc>
          <w:tcPr>
            <w:tcW w:w="2552" w:type="dxa"/>
            <w:noWrap/>
            <w:vAlign w:val="center"/>
            <w:hideMark/>
          </w:tcPr>
          <w:p w14:paraId="271443A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proofErr w:type="spellStart"/>
            <w:r w:rsidRPr="00461B41">
              <w:rPr>
                <w:rFonts w:eastAsia="DengXian" w:cs="Times New Roman"/>
                <w:color w:val="000000"/>
                <w:kern w:val="0"/>
              </w:rPr>
              <w:t>Glycerophosphocholine</w:t>
            </w:r>
            <w:proofErr w:type="spellEnd"/>
          </w:p>
        </w:tc>
        <w:tc>
          <w:tcPr>
            <w:tcW w:w="1276" w:type="dxa"/>
            <w:noWrap/>
            <w:vAlign w:val="center"/>
            <w:hideMark/>
          </w:tcPr>
          <w:p w14:paraId="4F7367A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8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20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6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P</w:t>
            </w:r>
          </w:p>
        </w:tc>
        <w:tc>
          <w:tcPr>
            <w:tcW w:w="992" w:type="dxa"/>
            <w:noWrap/>
            <w:vAlign w:val="center"/>
            <w:hideMark/>
          </w:tcPr>
          <w:p w14:paraId="195C6EA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0A0DAF4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1.11</w:t>
            </w:r>
          </w:p>
        </w:tc>
        <w:tc>
          <w:tcPr>
            <w:tcW w:w="977" w:type="dxa"/>
            <w:noWrap/>
            <w:vAlign w:val="center"/>
            <w:hideMark/>
          </w:tcPr>
          <w:p w14:paraId="4A08CEA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1.26E-02</w:t>
            </w:r>
          </w:p>
        </w:tc>
        <w:tc>
          <w:tcPr>
            <w:tcW w:w="866" w:type="dxa"/>
            <w:noWrap/>
            <w:vAlign w:val="center"/>
            <w:hideMark/>
          </w:tcPr>
          <w:p w14:paraId="4EED343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1134" w:type="dxa"/>
            <w:noWrap/>
            <w:vAlign w:val="center"/>
            <w:hideMark/>
          </w:tcPr>
          <w:p w14:paraId="7CF9D1E3" w14:textId="77777777" w:rsidR="00461B41" w:rsidRPr="00461B41" w:rsidRDefault="00461B41" w:rsidP="00461B41">
            <w:pPr>
              <w:ind w:firstLineChars="0" w:firstLine="0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2901" w:type="dxa"/>
            <w:noWrap/>
            <w:vAlign w:val="center"/>
            <w:hideMark/>
          </w:tcPr>
          <w:p w14:paraId="16F5E77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5CF506CB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008A29E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29</w:t>
            </w:r>
          </w:p>
        </w:tc>
        <w:tc>
          <w:tcPr>
            <w:tcW w:w="705" w:type="dxa"/>
            <w:noWrap/>
            <w:vAlign w:val="center"/>
            <w:hideMark/>
          </w:tcPr>
          <w:p w14:paraId="4F755A6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8.17</w:t>
            </w:r>
          </w:p>
        </w:tc>
        <w:tc>
          <w:tcPr>
            <w:tcW w:w="1067" w:type="dxa"/>
            <w:noWrap/>
            <w:vAlign w:val="center"/>
            <w:hideMark/>
          </w:tcPr>
          <w:p w14:paraId="641A0E1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280.2446</w:t>
            </w:r>
          </w:p>
        </w:tc>
        <w:tc>
          <w:tcPr>
            <w:tcW w:w="644" w:type="dxa"/>
            <w:noWrap/>
            <w:vAlign w:val="center"/>
            <w:hideMark/>
          </w:tcPr>
          <w:p w14:paraId="569A6FA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17.8</w:t>
            </w:r>
          </w:p>
        </w:tc>
        <w:tc>
          <w:tcPr>
            <w:tcW w:w="2552" w:type="dxa"/>
            <w:noWrap/>
            <w:vAlign w:val="center"/>
            <w:hideMark/>
          </w:tcPr>
          <w:p w14:paraId="7DBA2C7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Linoleic acid</w:t>
            </w:r>
          </w:p>
        </w:tc>
        <w:tc>
          <w:tcPr>
            <w:tcW w:w="1276" w:type="dxa"/>
            <w:noWrap/>
            <w:vAlign w:val="center"/>
            <w:hideMark/>
          </w:tcPr>
          <w:p w14:paraId="6A48A00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18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</w:t>
            </w:r>
          </w:p>
        </w:tc>
        <w:tc>
          <w:tcPr>
            <w:tcW w:w="992" w:type="dxa"/>
            <w:noWrap/>
            <w:vAlign w:val="center"/>
            <w:hideMark/>
          </w:tcPr>
          <w:p w14:paraId="7F31163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192E5A1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1.11</w:t>
            </w:r>
          </w:p>
        </w:tc>
        <w:tc>
          <w:tcPr>
            <w:tcW w:w="977" w:type="dxa"/>
            <w:noWrap/>
            <w:vAlign w:val="center"/>
            <w:hideMark/>
          </w:tcPr>
          <w:p w14:paraId="2242954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1.24E-02</w:t>
            </w:r>
          </w:p>
        </w:tc>
        <w:tc>
          <w:tcPr>
            <w:tcW w:w="866" w:type="dxa"/>
            <w:noWrap/>
            <w:vAlign w:val="center"/>
            <w:hideMark/>
          </w:tcPr>
          <w:p w14:paraId="6F664AE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1134" w:type="dxa"/>
            <w:noWrap/>
            <w:vAlign w:val="center"/>
            <w:hideMark/>
          </w:tcPr>
          <w:p w14:paraId="4253F534" w14:textId="77777777" w:rsidR="00461B41" w:rsidRPr="00461B41" w:rsidRDefault="00461B41" w:rsidP="00461B41">
            <w:pPr>
              <w:ind w:firstLineChars="0" w:firstLine="0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2901" w:type="dxa"/>
            <w:noWrap/>
            <w:vAlign w:val="center"/>
            <w:hideMark/>
          </w:tcPr>
          <w:p w14:paraId="29F2A6C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Linoleic acid metabolism</w:t>
            </w:r>
          </w:p>
        </w:tc>
      </w:tr>
      <w:tr w:rsidR="00461B41" w:rsidRPr="00461B41" w14:paraId="70AAB05C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3F12862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30</w:t>
            </w:r>
          </w:p>
        </w:tc>
        <w:tc>
          <w:tcPr>
            <w:tcW w:w="705" w:type="dxa"/>
            <w:noWrap/>
            <w:vAlign w:val="center"/>
            <w:hideMark/>
          </w:tcPr>
          <w:p w14:paraId="44B1F31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8.56</w:t>
            </w:r>
          </w:p>
        </w:tc>
        <w:tc>
          <w:tcPr>
            <w:tcW w:w="1067" w:type="dxa"/>
            <w:noWrap/>
            <w:vAlign w:val="center"/>
            <w:hideMark/>
          </w:tcPr>
          <w:p w14:paraId="79C7A08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452.317</w:t>
            </w:r>
          </w:p>
        </w:tc>
        <w:tc>
          <w:tcPr>
            <w:tcW w:w="644" w:type="dxa"/>
            <w:noWrap/>
            <w:vAlign w:val="center"/>
            <w:hideMark/>
          </w:tcPr>
          <w:p w14:paraId="7A665FD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7.7</w:t>
            </w:r>
          </w:p>
        </w:tc>
        <w:tc>
          <w:tcPr>
            <w:tcW w:w="2552" w:type="dxa"/>
            <w:noWrap/>
            <w:vAlign w:val="center"/>
            <w:hideMark/>
          </w:tcPr>
          <w:p w14:paraId="4476A9A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PC(O-14:1(1E)/0:0)</w:t>
            </w:r>
          </w:p>
        </w:tc>
        <w:tc>
          <w:tcPr>
            <w:tcW w:w="1276" w:type="dxa"/>
            <w:noWrap/>
            <w:vAlign w:val="center"/>
            <w:hideMark/>
          </w:tcPr>
          <w:p w14:paraId="1757EFB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46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6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P</w:t>
            </w:r>
          </w:p>
        </w:tc>
        <w:tc>
          <w:tcPr>
            <w:tcW w:w="992" w:type="dxa"/>
            <w:noWrap/>
            <w:vAlign w:val="center"/>
            <w:hideMark/>
          </w:tcPr>
          <w:p w14:paraId="2395381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2E94E18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1.31</w:t>
            </w:r>
          </w:p>
        </w:tc>
        <w:tc>
          <w:tcPr>
            <w:tcW w:w="977" w:type="dxa"/>
            <w:noWrap/>
            <w:vAlign w:val="center"/>
            <w:hideMark/>
          </w:tcPr>
          <w:p w14:paraId="209CF3D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1.29E-03</w:t>
            </w:r>
          </w:p>
        </w:tc>
        <w:tc>
          <w:tcPr>
            <w:tcW w:w="866" w:type="dxa"/>
            <w:noWrap/>
            <w:vAlign w:val="center"/>
            <w:hideMark/>
          </w:tcPr>
          <w:p w14:paraId="4042C23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1134" w:type="dxa"/>
            <w:noWrap/>
            <w:vAlign w:val="center"/>
            <w:hideMark/>
          </w:tcPr>
          <w:p w14:paraId="5C2091C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6885D0D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58CC9CD2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5F3C9FD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31</w:t>
            </w:r>
          </w:p>
        </w:tc>
        <w:tc>
          <w:tcPr>
            <w:tcW w:w="705" w:type="dxa"/>
            <w:noWrap/>
            <w:vAlign w:val="center"/>
            <w:hideMark/>
          </w:tcPr>
          <w:p w14:paraId="33CD2D5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9.37</w:t>
            </w:r>
          </w:p>
        </w:tc>
        <w:tc>
          <w:tcPr>
            <w:tcW w:w="1067" w:type="dxa"/>
            <w:noWrap/>
            <w:vAlign w:val="center"/>
            <w:hideMark/>
          </w:tcPr>
          <w:p w14:paraId="615200F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372.2717</w:t>
            </w:r>
          </w:p>
        </w:tc>
        <w:tc>
          <w:tcPr>
            <w:tcW w:w="644" w:type="dxa"/>
            <w:noWrap/>
            <w:vAlign w:val="center"/>
            <w:hideMark/>
          </w:tcPr>
          <w:p w14:paraId="21FC7FD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-7.8</w:t>
            </w:r>
          </w:p>
        </w:tc>
        <w:tc>
          <w:tcPr>
            <w:tcW w:w="2552" w:type="dxa"/>
            <w:noWrap/>
            <w:vAlign w:val="center"/>
            <w:hideMark/>
          </w:tcPr>
          <w:p w14:paraId="6EC2239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Prostaglandin F2a</w:t>
            </w:r>
          </w:p>
        </w:tc>
        <w:tc>
          <w:tcPr>
            <w:tcW w:w="1276" w:type="dxa"/>
            <w:noWrap/>
            <w:vAlign w:val="center"/>
            <w:hideMark/>
          </w:tcPr>
          <w:p w14:paraId="28DC3DA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20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</w:t>
            </w:r>
          </w:p>
        </w:tc>
        <w:tc>
          <w:tcPr>
            <w:tcW w:w="992" w:type="dxa"/>
            <w:noWrap/>
            <w:vAlign w:val="center"/>
            <w:hideMark/>
          </w:tcPr>
          <w:p w14:paraId="243736B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753B0A0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1.18</w:t>
            </w:r>
          </w:p>
        </w:tc>
        <w:tc>
          <w:tcPr>
            <w:tcW w:w="977" w:type="dxa"/>
            <w:noWrap/>
            <w:vAlign w:val="center"/>
            <w:hideMark/>
          </w:tcPr>
          <w:p w14:paraId="74FBCE6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5.07E-03</w:t>
            </w:r>
          </w:p>
        </w:tc>
        <w:tc>
          <w:tcPr>
            <w:tcW w:w="866" w:type="dxa"/>
            <w:noWrap/>
            <w:vAlign w:val="center"/>
            <w:hideMark/>
          </w:tcPr>
          <w:p w14:paraId="7B2A6A5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253E372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5ED6281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Arachidonic acid metabolism</w:t>
            </w:r>
          </w:p>
        </w:tc>
      </w:tr>
      <w:tr w:rsidR="00461B41" w:rsidRPr="00461B41" w14:paraId="4094213D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3CA9136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lastRenderedPageBreak/>
              <w:t>32</w:t>
            </w:r>
          </w:p>
        </w:tc>
        <w:tc>
          <w:tcPr>
            <w:tcW w:w="705" w:type="dxa"/>
            <w:noWrap/>
            <w:vAlign w:val="center"/>
            <w:hideMark/>
          </w:tcPr>
          <w:p w14:paraId="3D5A64E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9.68</w:t>
            </w:r>
          </w:p>
        </w:tc>
        <w:tc>
          <w:tcPr>
            <w:tcW w:w="1067" w:type="dxa"/>
            <w:noWrap/>
            <w:vAlign w:val="center"/>
            <w:hideMark/>
          </w:tcPr>
          <w:p w14:paraId="4FDEEAB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532.3755</w:t>
            </w:r>
          </w:p>
        </w:tc>
        <w:tc>
          <w:tcPr>
            <w:tcW w:w="644" w:type="dxa"/>
            <w:noWrap/>
            <w:vAlign w:val="center"/>
            <w:hideMark/>
          </w:tcPr>
          <w:p w14:paraId="35DFF3D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-1.3</w:t>
            </w:r>
          </w:p>
        </w:tc>
        <w:tc>
          <w:tcPr>
            <w:tcW w:w="2552" w:type="dxa"/>
            <w:noWrap/>
            <w:vAlign w:val="center"/>
            <w:hideMark/>
          </w:tcPr>
          <w:p w14:paraId="6B99FB6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proofErr w:type="spellStart"/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LysoPC</w:t>
            </w:r>
            <w:proofErr w:type="spellEnd"/>
            <w:r w:rsidRPr="00461B41">
              <w:rPr>
                <w:rFonts w:eastAsia="DengXian" w:cs="Times New Roman"/>
                <w:color w:val="000000"/>
                <w:kern w:val="0"/>
              </w:rPr>
              <w:t>(</w:t>
            </w:r>
            <w:proofErr w:type="gramEnd"/>
            <w:r w:rsidRPr="00461B41">
              <w:rPr>
                <w:rFonts w:eastAsia="DengXian" w:cs="Times New Roman"/>
                <w:color w:val="000000"/>
                <w:kern w:val="0"/>
              </w:rPr>
              <w:t>20:1(11Z))</w:t>
            </w:r>
          </w:p>
        </w:tc>
        <w:tc>
          <w:tcPr>
            <w:tcW w:w="1276" w:type="dxa"/>
            <w:noWrap/>
            <w:vAlign w:val="center"/>
            <w:hideMark/>
          </w:tcPr>
          <w:p w14:paraId="0D4FAEF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28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56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7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P</w:t>
            </w:r>
          </w:p>
        </w:tc>
        <w:tc>
          <w:tcPr>
            <w:tcW w:w="992" w:type="dxa"/>
            <w:noWrap/>
            <w:vAlign w:val="center"/>
            <w:hideMark/>
          </w:tcPr>
          <w:p w14:paraId="44F8D57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1922CB0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</w:t>
            </w:r>
          </w:p>
        </w:tc>
        <w:tc>
          <w:tcPr>
            <w:tcW w:w="977" w:type="dxa"/>
            <w:noWrap/>
            <w:vAlign w:val="center"/>
            <w:hideMark/>
          </w:tcPr>
          <w:p w14:paraId="66D3318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4.27E-02</w:t>
            </w:r>
          </w:p>
        </w:tc>
        <w:tc>
          <w:tcPr>
            <w:tcW w:w="866" w:type="dxa"/>
            <w:noWrap/>
            <w:vAlign w:val="center"/>
            <w:hideMark/>
          </w:tcPr>
          <w:p w14:paraId="4F207A3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1134" w:type="dxa"/>
            <w:noWrap/>
            <w:vAlign w:val="center"/>
            <w:hideMark/>
          </w:tcPr>
          <w:p w14:paraId="2BFD45D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2E6DAD0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0BB4FF72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0DCBFB6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33</w:t>
            </w:r>
          </w:p>
        </w:tc>
        <w:tc>
          <w:tcPr>
            <w:tcW w:w="705" w:type="dxa"/>
            <w:noWrap/>
            <w:vAlign w:val="center"/>
            <w:hideMark/>
          </w:tcPr>
          <w:p w14:paraId="6577600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9.85</w:t>
            </w:r>
          </w:p>
        </w:tc>
        <w:tc>
          <w:tcPr>
            <w:tcW w:w="1067" w:type="dxa"/>
            <w:noWrap/>
            <w:vAlign w:val="center"/>
            <w:hideMark/>
          </w:tcPr>
          <w:p w14:paraId="2FABB15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193.1296</w:t>
            </w:r>
          </w:p>
        </w:tc>
        <w:tc>
          <w:tcPr>
            <w:tcW w:w="644" w:type="dxa"/>
            <w:noWrap/>
            <w:vAlign w:val="center"/>
            <w:hideMark/>
          </w:tcPr>
          <w:p w14:paraId="68BEB39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0.2</w:t>
            </w:r>
          </w:p>
        </w:tc>
        <w:tc>
          <w:tcPr>
            <w:tcW w:w="2552" w:type="dxa"/>
            <w:noWrap/>
            <w:vAlign w:val="center"/>
            <w:hideMark/>
          </w:tcPr>
          <w:p w14:paraId="76FD6E8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Citrulline</w:t>
            </w:r>
          </w:p>
        </w:tc>
        <w:tc>
          <w:tcPr>
            <w:tcW w:w="1276" w:type="dxa"/>
            <w:noWrap/>
            <w:vAlign w:val="center"/>
            <w:hideMark/>
          </w:tcPr>
          <w:p w14:paraId="7386A28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6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13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</w:t>
            </w:r>
          </w:p>
        </w:tc>
        <w:tc>
          <w:tcPr>
            <w:tcW w:w="992" w:type="dxa"/>
            <w:noWrap/>
            <w:vAlign w:val="center"/>
            <w:hideMark/>
          </w:tcPr>
          <w:p w14:paraId="0F164C1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657204F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1.43</w:t>
            </w:r>
          </w:p>
        </w:tc>
        <w:tc>
          <w:tcPr>
            <w:tcW w:w="977" w:type="dxa"/>
            <w:noWrap/>
            <w:vAlign w:val="center"/>
            <w:hideMark/>
          </w:tcPr>
          <w:p w14:paraId="6235662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2.14E-04</w:t>
            </w:r>
          </w:p>
        </w:tc>
        <w:tc>
          <w:tcPr>
            <w:tcW w:w="866" w:type="dxa"/>
            <w:noWrap/>
            <w:vAlign w:val="center"/>
            <w:hideMark/>
          </w:tcPr>
          <w:p w14:paraId="359D9C2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1134" w:type="dxa"/>
            <w:noWrap/>
            <w:vAlign w:val="center"/>
            <w:hideMark/>
          </w:tcPr>
          <w:p w14:paraId="7A7C2270" w14:textId="77777777" w:rsidR="00461B41" w:rsidRPr="00461B41" w:rsidRDefault="00461B41" w:rsidP="00461B41">
            <w:pPr>
              <w:ind w:firstLineChars="0" w:firstLine="0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2901" w:type="dxa"/>
            <w:noWrap/>
            <w:vAlign w:val="center"/>
            <w:hideMark/>
          </w:tcPr>
          <w:p w14:paraId="07420B3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Arginine biosynthesis</w:t>
            </w:r>
          </w:p>
        </w:tc>
      </w:tr>
      <w:tr w:rsidR="00461B41" w:rsidRPr="00461B41" w14:paraId="18A7D927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39B8705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34</w:t>
            </w:r>
          </w:p>
        </w:tc>
        <w:tc>
          <w:tcPr>
            <w:tcW w:w="705" w:type="dxa"/>
            <w:noWrap/>
            <w:vAlign w:val="center"/>
            <w:hideMark/>
          </w:tcPr>
          <w:p w14:paraId="73B973D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10</w:t>
            </w:r>
          </w:p>
        </w:tc>
        <w:tc>
          <w:tcPr>
            <w:tcW w:w="1067" w:type="dxa"/>
            <w:noWrap/>
            <w:vAlign w:val="center"/>
            <w:hideMark/>
          </w:tcPr>
          <w:p w14:paraId="2C9EFE7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259.2075</w:t>
            </w:r>
          </w:p>
        </w:tc>
        <w:tc>
          <w:tcPr>
            <w:tcW w:w="644" w:type="dxa"/>
            <w:noWrap/>
            <w:vAlign w:val="center"/>
            <w:hideMark/>
          </w:tcPr>
          <w:p w14:paraId="6A93F30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6.8</w:t>
            </w:r>
          </w:p>
        </w:tc>
        <w:tc>
          <w:tcPr>
            <w:tcW w:w="2552" w:type="dxa"/>
            <w:noWrap/>
            <w:vAlign w:val="center"/>
            <w:hideMark/>
          </w:tcPr>
          <w:p w14:paraId="48DEC29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proofErr w:type="spellStart"/>
            <w:r w:rsidRPr="00461B41">
              <w:rPr>
                <w:rFonts w:eastAsia="DengXian" w:cs="Times New Roman"/>
                <w:color w:val="000000"/>
                <w:kern w:val="0"/>
              </w:rPr>
              <w:t>Stearidonic</w:t>
            </w:r>
            <w:proofErr w:type="spellEnd"/>
            <w:r w:rsidRPr="00461B41">
              <w:rPr>
                <w:rFonts w:eastAsia="DengXian" w:cs="Times New Roman"/>
                <w:color w:val="000000"/>
                <w:kern w:val="0"/>
              </w:rPr>
              <w:t xml:space="preserve"> acid</w:t>
            </w:r>
          </w:p>
        </w:tc>
        <w:tc>
          <w:tcPr>
            <w:tcW w:w="1276" w:type="dxa"/>
            <w:noWrap/>
            <w:vAlign w:val="center"/>
            <w:hideMark/>
          </w:tcPr>
          <w:p w14:paraId="24DCB29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18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28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</w:t>
            </w:r>
          </w:p>
        </w:tc>
        <w:tc>
          <w:tcPr>
            <w:tcW w:w="992" w:type="dxa"/>
            <w:noWrap/>
            <w:vAlign w:val="center"/>
            <w:hideMark/>
          </w:tcPr>
          <w:p w14:paraId="41BB1AA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41F93D9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1.31</w:t>
            </w:r>
          </w:p>
        </w:tc>
        <w:tc>
          <w:tcPr>
            <w:tcW w:w="977" w:type="dxa"/>
            <w:noWrap/>
            <w:vAlign w:val="center"/>
            <w:hideMark/>
          </w:tcPr>
          <w:p w14:paraId="11BBF4E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1.05E-03</w:t>
            </w:r>
          </w:p>
        </w:tc>
        <w:tc>
          <w:tcPr>
            <w:tcW w:w="866" w:type="dxa"/>
            <w:noWrap/>
            <w:vAlign w:val="center"/>
            <w:hideMark/>
          </w:tcPr>
          <w:p w14:paraId="72AE830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2BE67AB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2901" w:type="dxa"/>
            <w:noWrap/>
            <w:vAlign w:val="center"/>
            <w:hideMark/>
          </w:tcPr>
          <w:p w14:paraId="43FE950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alpha-Linolenic acid metabolism</w:t>
            </w:r>
          </w:p>
        </w:tc>
      </w:tr>
      <w:tr w:rsidR="00461B41" w:rsidRPr="00461B41" w14:paraId="555E6E99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7A427C1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35</w:t>
            </w:r>
          </w:p>
        </w:tc>
        <w:tc>
          <w:tcPr>
            <w:tcW w:w="705" w:type="dxa"/>
            <w:noWrap/>
            <w:vAlign w:val="center"/>
            <w:hideMark/>
          </w:tcPr>
          <w:p w14:paraId="639E7C4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10.13</w:t>
            </w:r>
          </w:p>
        </w:tc>
        <w:tc>
          <w:tcPr>
            <w:tcW w:w="1067" w:type="dxa"/>
            <w:noWrap/>
            <w:vAlign w:val="center"/>
            <w:hideMark/>
          </w:tcPr>
          <w:p w14:paraId="5212A36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611.4244</w:t>
            </w:r>
          </w:p>
        </w:tc>
        <w:tc>
          <w:tcPr>
            <w:tcW w:w="644" w:type="dxa"/>
            <w:noWrap/>
            <w:vAlign w:val="center"/>
            <w:hideMark/>
          </w:tcPr>
          <w:p w14:paraId="3013B10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3.3</w:t>
            </w:r>
          </w:p>
        </w:tc>
        <w:tc>
          <w:tcPr>
            <w:tcW w:w="2552" w:type="dxa"/>
            <w:noWrap/>
            <w:vAlign w:val="center"/>
            <w:hideMark/>
          </w:tcPr>
          <w:p w14:paraId="7E7B817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Retinol (Vitamin A)</w:t>
            </w:r>
          </w:p>
        </w:tc>
        <w:tc>
          <w:tcPr>
            <w:tcW w:w="1276" w:type="dxa"/>
            <w:noWrap/>
            <w:vAlign w:val="center"/>
            <w:hideMark/>
          </w:tcPr>
          <w:p w14:paraId="6322418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20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30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</w:p>
        </w:tc>
        <w:tc>
          <w:tcPr>
            <w:tcW w:w="992" w:type="dxa"/>
            <w:noWrap/>
            <w:vAlign w:val="center"/>
            <w:hideMark/>
          </w:tcPr>
          <w:p w14:paraId="343840E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6D1E3FC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1.24</w:t>
            </w:r>
          </w:p>
        </w:tc>
        <w:tc>
          <w:tcPr>
            <w:tcW w:w="977" w:type="dxa"/>
            <w:noWrap/>
            <w:vAlign w:val="center"/>
            <w:hideMark/>
          </w:tcPr>
          <w:p w14:paraId="3C824E3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1.36E-02</w:t>
            </w:r>
          </w:p>
        </w:tc>
        <w:tc>
          <w:tcPr>
            <w:tcW w:w="866" w:type="dxa"/>
            <w:noWrap/>
            <w:vAlign w:val="center"/>
            <w:hideMark/>
          </w:tcPr>
          <w:p w14:paraId="6DFED35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1134" w:type="dxa"/>
            <w:noWrap/>
            <w:vAlign w:val="center"/>
            <w:hideMark/>
          </w:tcPr>
          <w:p w14:paraId="63FDADA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2901" w:type="dxa"/>
            <w:noWrap/>
            <w:vAlign w:val="center"/>
            <w:hideMark/>
          </w:tcPr>
          <w:p w14:paraId="15FAE63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24CF227B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22C5BA4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36</w:t>
            </w:r>
          </w:p>
        </w:tc>
        <w:tc>
          <w:tcPr>
            <w:tcW w:w="705" w:type="dxa"/>
            <w:noWrap/>
            <w:vAlign w:val="center"/>
            <w:hideMark/>
          </w:tcPr>
          <w:p w14:paraId="1687EF5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11.32</w:t>
            </w:r>
          </w:p>
        </w:tc>
        <w:tc>
          <w:tcPr>
            <w:tcW w:w="1067" w:type="dxa"/>
            <w:noWrap/>
            <w:vAlign w:val="center"/>
            <w:hideMark/>
          </w:tcPr>
          <w:p w14:paraId="77F5A34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913.7934</w:t>
            </w:r>
          </w:p>
        </w:tc>
        <w:tc>
          <w:tcPr>
            <w:tcW w:w="644" w:type="dxa"/>
            <w:noWrap/>
            <w:vAlign w:val="center"/>
            <w:hideMark/>
          </w:tcPr>
          <w:p w14:paraId="2585263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-22</w:t>
            </w:r>
          </w:p>
        </w:tc>
        <w:tc>
          <w:tcPr>
            <w:tcW w:w="2552" w:type="dxa"/>
            <w:noWrap/>
            <w:vAlign w:val="center"/>
            <w:hideMark/>
          </w:tcPr>
          <w:p w14:paraId="0017128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TG(</w:t>
            </w:r>
            <w:proofErr w:type="gramEnd"/>
            <w:r w:rsidRPr="00461B41">
              <w:rPr>
                <w:rFonts w:eastAsia="DengXian" w:cs="Times New Roman"/>
                <w:color w:val="000000"/>
                <w:kern w:val="0"/>
              </w:rPr>
              <w:t>14:0/22:0/20:3n6)</w:t>
            </w:r>
          </w:p>
        </w:tc>
        <w:tc>
          <w:tcPr>
            <w:tcW w:w="1276" w:type="dxa"/>
            <w:noWrap/>
            <w:vAlign w:val="center"/>
            <w:hideMark/>
          </w:tcPr>
          <w:p w14:paraId="102E67A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59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108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6</w:t>
            </w:r>
          </w:p>
        </w:tc>
        <w:tc>
          <w:tcPr>
            <w:tcW w:w="992" w:type="dxa"/>
            <w:noWrap/>
            <w:vAlign w:val="center"/>
            <w:hideMark/>
          </w:tcPr>
          <w:p w14:paraId="5F4B951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71A35A8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1.49</w:t>
            </w:r>
          </w:p>
        </w:tc>
        <w:tc>
          <w:tcPr>
            <w:tcW w:w="977" w:type="dxa"/>
            <w:noWrap/>
            <w:vAlign w:val="center"/>
            <w:hideMark/>
          </w:tcPr>
          <w:p w14:paraId="22D5E0F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8.68E-06</w:t>
            </w:r>
          </w:p>
        </w:tc>
        <w:tc>
          <w:tcPr>
            <w:tcW w:w="866" w:type="dxa"/>
            <w:noWrap/>
            <w:vAlign w:val="center"/>
            <w:hideMark/>
          </w:tcPr>
          <w:p w14:paraId="022516D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63EAE4A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4553396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3D89D227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396A834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37</w:t>
            </w:r>
          </w:p>
        </w:tc>
        <w:tc>
          <w:tcPr>
            <w:tcW w:w="705" w:type="dxa"/>
            <w:noWrap/>
            <w:vAlign w:val="center"/>
            <w:hideMark/>
          </w:tcPr>
          <w:p w14:paraId="463B164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11.32</w:t>
            </w:r>
          </w:p>
        </w:tc>
        <w:tc>
          <w:tcPr>
            <w:tcW w:w="1067" w:type="dxa"/>
            <w:noWrap/>
            <w:vAlign w:val="center"/>
            <w:hideMark/>
          </w:tcPr>
          <w:p w14:paraId="63D299A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661.4923</w:t>
            </w:r>
          </w:p>
        </w:tc>
        <w:tc>
          <w:tcPr>
            <w:tcW w:w="644" w:type="dxa"/>
            <w:noWrap/>
            <w:vAlign w:val="center"/>
            <w:hideMark/>
          </w:tcPr>
          <w:p w14:paraId="215E73A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22.6</w:t>
            </w:r>
          </w:p>
        </w:tc>
        <w:tc>
          <w:tcPr>
            <w:tcW w:w="2552" w:type="dxa"/>
            <w:noWrap/>
            <w:vAlign w:val="center"/>
            <w:hideMark/>
          </w:tcPr>
          <w:p w14:paraId="3F88173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proofErr w:type="spellStart"/>
            <w:r w:rsidRPr="00461B41">
              <w:rPr>
                <w:rFonts w:eastAsia="DengXian" w:cs="Times New Roman"/>
                <w:color w:val="000000"/>
                <w:kern w:val="0"/>
              </w:rPr>
              <w:t>Docosapentaenoic</w:t>
            </w:r>
            <w:proofErr w:type="spellEnd"/>
            <w:r w:rsidRPr="00461B41">
              <w:rPr>
                <w:rFonts w:eastAsia="DengXian" w:cs="Times New Roman"/>
                <w:color w:val="000000"/>
                <w:kern w:val="0"/>
              </w:rPr>
              <w:t xml:space="preserve"> acid</w:t>
            </w:r>
          </w:p>
        </w:tc>
        <w:tc>
          <w:tcPr>
            <w:tcW w:w="1276" w:type="dxa"/>
            <w:noWrap/>
            <w:vAlign w:val="center"/>
            <w:hideMark/>
          </w:tcPr>
          <w:p w14:paraId="62EFD71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34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</w:t>
            </w:r>
          </w:p>
        </w:tc>
        <w:tc>
          <w:tcPr>
            <w:tcW w:w="992" w:type="dxa"/>
            <w:noWrap/>
            <w:vAlign w:val="center"/>
            <w:hideMark/>
          </w:tcPr>
          <w:p w14:paraId="261AC6E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6C4E2F7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1.27</w:t>
            </w:r>
          </w:p>
        </w:tc>
        <w:tc>
          <w:tcPr>
            <w:tcW w:w="977" w:type="dxa"/>
            <w:noWrap/>
            <w:vAlign w:val="center"/>
            <w:hideMark/>
          </w:tcPr>
          <w:p w14:paraId="0E7FB90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2.85E-03</w:t>
            </w:r>
          </w:p>
        </w:tc>
        <w:tc>
          <w:tcPr>
            <w:tcW w:w="866" w:type="dxa"/>
            <w:noWrap/>
            <w:vAlign w:val="center"/>
            <w:hideMark/>
          </w:tcPr>
          <w:p w14:paraId="54E92E0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1096E9F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2901" w:type="dxa"/>
            <w:noWrap/>
            <w:vAlign w:val="center"/>
            <w:hideMark/>
          </w:tcPr>
          <w:p w14:paraId="089B013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65A360FD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6B4FE6B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38</w:t>
            </w:r>
          </w:p>
        </w:tc>
        <w:tc>
          <w:tcPr>
            <w:tcW w:w="705" w:type="dxa"/>
            <w:noWrap/>
            <w:vAlign w:val="center"/>
            <w:hideMark/>
          </w:tcPr>
          <w:p w14:paraId="73534F2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11.32</w:t>
            </w:r>
          </w:p>
        </w:tc>
        <w:tc>
          <w:tcPr>
            <w:tcW w:w="1067" w:type="dxa"/>
            <w:noWrap/>
            <w:vAlign w:val="center"/>
            <w:hideMark/>
          </w:tcPr>
          <w:p w14:paraId="5E0F6BA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856.749</w:t>
            </w:r>
          </w:p>
        </w:tc>
        <w:tc>
          <w:tcPr>
            <w:tcW w:w="644" w:type="dxa"/>
            <w:noWrap/>
            <w:vAlign w:val="center"/>
            <w:hideMark/>
          </w:tcPr>
          <w:p w14:paraId="10A17DD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12.4</w:t>
            </w:r>
          </w:p>
        </w:tc>
        <w:tc>
          <w:tcPr>
            <w:tcW w:w="2552" w:type="dxa"/>
            <w:noWrap/>
            <w:vAlign w:val="center"/>
            <w:hideMark/>
          </w:tcPr>
          <w:p w14:paraId="1E66A13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TG(</w:t>
            </w:r>
            <w:proofErr w:type="gramEnd"/>
            <w:r w:rsidRPr="00461B41">
              <w:rPr>
                <w:rFonts w:eastAsia="DengXian" w:cs="Times New Roman"/>
                <w:color w:val="000000"/>
                <w:kern w:val="0"/>
              </w:rPr>
              <w:t>15:0/18:2(9Z,12Z)/16:1(9Z))</w:t>
            </w:r>
          </w:p>
        </w:tc>
        <w:tc>
          <w:tcPr>
            <w:tcW w:w="1276" w:type="dxa"/>
            <w:noWrap/>
            <w:vAlign w:val="center"/>
            <w:hideMark/>
          </w:tcPr>
          <w:p w14:paraId="62428BB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94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6</w:t>
            </w:r>
          </w:p>
        </w:tc>
        <w:tc>
          <w:tcPr>
            <w:tcW w:w="992" w:type="dxa"/>
            <w:noWrap/>
            <w:vAlign w:val="center"/>
            <w:hideMark/>
          </w:tcPr>
          <w:p w14:paraId="2DF7178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7B4DFE9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1.51</w:t>
            </w:r>
          </w:p>
        </w:tc>
        <w:tc>
          <w:tcPr>
            <w:tcW w:w="977" w:type="dxa"/>
            <w:noWrap/>
            <w:vAlign w:val="center"/>
            <w:hideMark/>
          </w:tcPr>
          <w:p w14:paraId="7A2CC65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7.76E-06</w:t>
            </w:r>
          </w:p>
        </w:tc>
        <w:tc>
          <w:tcPr>
            <w:tcW w:w="866" w:type="dxa"/>
            <w:noWrap/>
            <w:vAlign w:val="center"/>
            <w:hideMark/>
          </w:tcPr>
          <w:p w14:paraId="22C0D4C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5AB0083F" w14:textId="77777777" w:rsidR="00461B41" w:rsidRPr="00461B41" w:rsidRDefault="00461B41" w:rsidP="00461B41">
            <w:pPr>
              <w:ind w:firstLineChars="0" w:firstLine="0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2901" w:type="dxa"/>
            <w:noWrap/>
            <w:vAlign w:val="center"/>
            <w:hideMark/>
          </w:tcPr>
          <w:p w14:paraId="2E3941F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0D0D0D6E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47CCAAB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39</w:t>
            </w:r>
          </w:p>
        </w:tc>
        <w:tc>
          <w:tcPr>
            <w:tcW w:w="705" w:type="dxa"/>
            <w:noWrap/>
            <w:vAlign w:val="center"/>
            <w:hideMark/>
          </w:tcPr>
          <w:p w14:paraId="11BE226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11.33</w:t>
            </w:r>
          </w:p>
        </w:tc>
        <w:tc>
          <w:tcPr>
            <w:tcW w:w="1067" w:type="dxa"/>
            <w:noWrap/>
            <w:vAlign w:val="center"/>
            <w:hideMark/>
          </w:tcPr>
          <w:p w14:paraId="463A567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842.7506</w:t>
            </w:r>
          </w:p>
        </w:tc>
        <w:tc>
          <w:tcPr>
            <w:tcW w:w="644" w:type="dxa"/>
            <w:noWrap/>
            <w:vAlign w:val="center"/>
            <w:hideMark/>
          </w:tcPr>
          <w:p w14:paraId="4713913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16.8</w:t>
            </w:r>
          </w:p>
        </w:tc>
        <w:tc>
          <w:tcPr>
            <w:tcW w:w="2552" w:type="dxa"/>
            <w:noWrap/>
            <w:vAlign w:val="center"/>
            <w:hideMark/>
          </w:tcPr>
          <w:p w14:paraId="54B67BC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PC(o-18:0/24:0)</w:t>
            </w:r>
          </w:p>
        </w:tc>
        <w:tc>
          <w:tcPr>
            <w:tcW w:w="1276" w:type="dxa"/>
            <w:noWrap/>
            <w:vAlign w:val="center"/>
            <w:hideMark/>
          </w:tcPr>
          <w:p w14:paraId="77B6DC0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50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102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7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P</w:t>
            </w:r>
          </w:p>
        </w:tc>
        <w:tc>
          <w:tcPr>
            <w:tcW w:w="992" w:type="dxa"/>
            <w:noWrap/>
            <w:vAlign w:val="center"/>
            <w:hideMark/>
          </w:tcPr>
          <w:p w14:paraId="3D24D45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48F3AE2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1.49</w:t>
            </w:r>
          </w:p>
        </w:tc>
        <w:tc>
          <w:tcPr>
            <w:tcW w:w="977" w:type="dxa"/>
            <w:noWrap/>
            <w:vAlign w:val="center"/>
            <w:hideMark/>
          </w:tcPr>
          <w:p w14:paraId="476CFB1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3.06E-04</w:t>
            </w:r>
          </w:p>
        </w:tc>
        <w:tc>
          <w:tcPr>
            <w:tcW w:w="866" w:type="dxa"/>
            <w:noWrap/>
            <w:vAlign w:val="center"/>
            <w:hideMark/>
          </w:tcPr>
          <w:p w14:paraId="3AEA656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4D41AA9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2901" w:type="dxa"/>
            <w:noWrap/>
            <w:vAlign w:val="center"/>
            <w:hideMark/>
          </w:tcPr>
          <w:p w14:paraId="6B39375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47DF92B2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48C8DC2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40</w:t>
            </w:r>
          </w:p>
        </w:tc>
        <w:tc>
          <w:tcPr>
            <w:tcW w:w="705" w:type="dxa"/>
            <w:noWrap/>
            <w:vAlign w:val="center"/>
            <w:hideMark/>
          </w:tcPr>
          <w:p w14:paraId="5CB2779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11.33</w:t>
            </w:r>
          </w:p>
        </w:tc>
        <w:tc>
          <w:tcPr>
            <w:tcW w:w="1067" w:type="dxa"/>
            <w:noWrap/>
            <w:vAlign w:val="center"/>
            <w:hideMark/>
          </w:tcPr>
          <w:p w14:paraId="45A1E6B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870.7591</w:t>
            </w:r>
          </w:p>
        </w:tc>
        <w:tc>
          <w:tcPr>
            <w:tcW w:w="644" w:type="dxa"/>
            <w:noWrap/>
            <w:vAlign w:val="center"/>
            <w:hideMark/>
          </w:tcPr>
          <w:p w14:paraId="6F1DE48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5.4</w:t>
            </w:r>
          </w:p>
        </w:tc>
        <w:tc>
          <w:tcPr>
            <w:tcW w:w="2552" w:type="dxa"/>
            <w:noWrap/>
            <w:vAlign w:val="center"/>
            <w:hideMark/>
          </w:tcPr>
          <w:p w14:paraId="68D5299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TG(</w:t>
            </w:r>
            <w:proofErr w:type="gramEnd"/>
            <w:r w:rsidRPr="00461B41">
              <w:rPr>
                <w:rFonts w:eastAsia="DengXian" w:cs="Times New Roman"/>
                <w:color w:val="000000"/>
                <w:kern w:val="0"/>
              </w:rPr>
              <w:t>16:1(9Z)/16:1(9Z)/20:3(5Z,8Z,11Z))</w:t>
            </w:r>
          </w:p>
        </w:tc>
        <w:tc>
          <w:tcPr>
            <w:tcW w:w="1276" w:type="dxa"/>
            <w:noWrap/>
            <w:vAlign w:val="center"/>
            <w:hideMark/>
          </w:tcPr>
          <w:p w14:paraId="54AA881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55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96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6</w:t>
            </w:r>
          </w:p>
        </w:tc>
        <w:tc>
          <w:tcPr>
            <w:tcW w:w="992" w:type="dxa"/>
            <w:noWrap/>
            <w:vAlign w:val="center"/>
            <w:hideMark/>
          </w:tcPr>
          <w:p w14:paraId="2D3481B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5261711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1.18</w:t>
            </w:r>
          </w:p>
        </w:tc>
        <w:tc>
          <w:tcPr>
            <w:tcW w:w="977" w:type="dxa"/>
            <w:noWrap/>
            <w:vAlign w:val="center"/>
            <w:hideMark/>
          </w:tcPr>
          <w:p w14:paraId="7F3C8C3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7.07E-03</w:t>
            </w:r>
          </w:p>
        </w:tc>
        <w:tc>
          <w:tcPr>
            <w:tcW w:w="866" w:type="dxa"/>
            <w:noWrap/>
            <w:vAlign w:val="center"/>
            <w:hideMark/>
          </w:tcPr>
          <w:p w14:paraId="50DC2CC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29AE2EC0" w14:textId="77777777" w:rsidR="00461B41" w:rsidRPr="00461B41" w:rsidRDefault="00461B41" w:rsidP="00461B41">
            <w:pPr>
              <w:ind w:firstLineChars="0" w:firstLine="0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2901" w:type="dxa"/>
            <w:noWrap/>
            <w:vAlign w:val="center"/>
            <w:hideMark/>
          </w:tcPr>
          <w:p w14:paraId="1A44438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142FE57F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670B8BC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41</w:t>
            </w:r>
          </w:p>
        </w:tc>
        <w:tc>
          <w:tcPr>
            <w:tcW w:w="705" w:type="dxa"/>
            <w:noWrap/>
            <w:vAlign w:val="center"/>
            <w:hideMark/>
          </w:tcPr>
          <w:p w14:paraId="40FE5EA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11.55</w:t>
            </w:r>
          </w:p>
        </w:tc>
        <w:tc>
          <w:tcPr>
            <w:tcW w:w="1067" w:type="dxa"/>
            <w:noWrap/>
            <w:vAlign w:val="center"/>
            <w:hideMark/>
          </w:tcPr>
          <w:p w14:paraId="7983300B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829.7612</w:t>
            </w:r>
          </w:p>
        </w:tc>
        <w:tc>
          <w:tcPr>
            <w:tcW w:w="644" w:type="dxa"/>
            <w:noWrap/>
            <w:vAlign w:val="center"/>
            <w:hideMark/>
          </w:tcPr>
          <w:p w14:paraId="38D7195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-13.4</w:t>
            </w:r>
          </w:p>
        </w:tc>
        <w:tc>
          <w:tcPr>
            <w:tcW w:w="2552" w:type="dxa"/>
            <w:noWrap/>
            <w:vAlign w:val="center"/>
            <w:hideMark/>
          </w:tcPr>
          <w:p w14:paraId="2EF42ED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TG(</w:t>
            </w:r>
            <w:proofErr w:type="gramEnd"/>
            <w:r w:rsidRPr="00461B41">
              <w:rPr>
                <w:rFonts w:eastAsia="DengXian" w:cs="Times New Roman"/>
                <w:color w:val="000000"/>
                <w:kern w:val="0"/>
              </w:rPr>
              <w:t>15:0/16:0/o-18:0)</w:t>
            </w:r>
          </w:p>
        </w:tc>
        <w:tc>
          <w:tcPr>
            <w:tcW w:w="1276" w:type="dxa"/>
            <w:noWrap/>
            <w:vAlign w:val="center"/>
            <w:hideMark/>
          </w:tcPr>
          <w:p w14:paraId="68B5E13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102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</w:t>
            </w:r>
          </w:p>
        </w:tc>
        <w:tc>
          <w:tcPr>
            <w:tcW w:w="992" w:type="dxa"/>
            <w:noWrap/>
            <w:vAlign w:val="center"/>
            <w:hideMark/>
          </w:tcPr>
          <w:p w14:paraId="248D150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noWrap/>
            <w:vAlign w:val="center"/>
            <w:hideMark/>
          </w:tcPr>
          <w:p w14:paraId="536B990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1.28</w:t>
            </w:r>
          </w:p>
        </w:tc>
        <w:tc>
          <w:tcPr>
            <w:tcW w:w="977" w:type="dxa"/>
            <w:noWrap/>
            <w:vAlign w:val="center"/>
            <w:hideMark/>
          </w:tcPr>
          <w:p w14:paraId="61DAC7A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1.84E-03</w:t>
            </w:r>
          </w:p>
        </w:tc>
        <w:tc>
          <w:tcPr>
            <w:tcW w:w="866" w:type="dxa"/>
            <w:noWrap/>
            <w:vAlign w:val="center"/>
            <w:hideMark/>
          </w:tcPr>
          <w:p w14:paraId="212A6C9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7395DB83" w14:textId="77777777" w:rsidR="00461B41" w:rsidRPr="00461B41" w:rsidRDefault="00461B41" w:rsidP="00461B41">
            <w:pPr>
              <w:ind w:firstLineChars="0" w:firstLine="0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2901" w:type="dxa"/>
            <w:noWrap/>
            <w:vAlign w:val="center"/>
            <w:hideMark/>
          </w:tcPr>
          <w:p w14:paraId="571322E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4A08CE18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0C83F53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42</w:t>
            </w:r>
          </w:p>
        </w:tc>
        <w:tc>
          <w:tcPr>
            <w:tcW w:w="705" w:type="dxa"/>
            <w:noWrap/>
            <w:vAlign w:val="center"/>
            <w:hideMark/>
          </w:tcPr>
          <w:p w14:paraId="3D63A5D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11.62</w:t>
            </w:r>
          </w:p>
        </w:tc>
        <w:tc>
          <w:tcPr>
            <w:tcW w:w="1067" w:type="dxa"/>
            <w:noWrap/>
            <w:vAlign w:val="center"/>
            <w:hideMark/>
          </w:tcPr>
          <w:p w14:paraId="32DDCE9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907.7963</w:t>
            </w:r>
          </w:p>
        </w:tc>
        <w:tc>
          <w:tcPr>
            <w:tcW w:w="644" w:type="dxa"/>
            <w:noWrap/>
            <w:vAlign w:val="center"/>
            <w:hideMark/>
          </w:tcPr>
          <w:p w14:paraId="024A89F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-54.5</w:t>
            </w:r>
          </w:p>
        </w:tc>
        <w:tc>
          <w:tcPr>
            <w:tcW w:w="2552" w:type="dxa"/>
            <w:noWrap/>
            <w:vAlign w:val="center"/>
            <w:hideMark/>
          </w:tcPr>
          <w:p w14:paraId="009C655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TG(</w:t>
            </w:r>
            <w:proofErr w:type="gramEnd"/>
            <w:r w:rsidRPr="00461B41">
              <w:rPr>
                <w:rFonts w:eastAsia="DengXian" w:cs="Times New Roman"/>
                <w:color w:val="000000"/>
                <w:kern w:val="0"/>
              </w:rPr>
              <w:t>20:0/14:1(9Z)/24:1(15Z))</w:t>
            </w:r>
          </w:p>
        </w:tc>
        <w:tc>
          <w:tcPr>
            <w:tcW w:w="1276" w:type="dxa"/>
            <w:noWrap/>
            <w:vAlign w:val="center"/>
            <w:hideMark/>
          </w:tcPr>
          <w:p w14:paraId="0AE75C9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61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114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6</w:t>
            </w:r>
          </w:p>
        </w:tc>
        <w:tc>
          <w:tcPr>
            <w:tcW w:w="992" w:type="dxa"/>
            <w:noWrap/>
            <w:vAlign w:val="center"/>
            <w:hideMark/>
          </w:tcPr>
          <w:p w14:paraId="68D81C5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45C3F64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1.3</w:t>
            </w:r>
          </w:p>
        </w:tc>
        <w:tc>
          <w:tcPr>
            <w:tcW w:w="977" w:type="dxa"/>
            <w:noWrap/>
            <w:vAlign w:val="center"/>
            <w:hideMark/>
          </w:tcPr>
          <w:p w14:paraId="09CACD9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2.54E-03</w:t>
            </w:r>
          </w:p>
        </w:tc>
        <w:tc>
          <w:tcPr>
            <w:tcW w:w="866" w:type="dxa"/>
            <w:noWrap/>
            <w:vAlign w:val="center"/>
            <w:hideMark/>
          </w:tcPr>
          <w:p w14:paraId="443DF99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189DDB1F" w14:textId="77777777" w:rsidR="00461B41" w:rsidRPr="00461B41" w:rsidRDefault="00461B41" w:rsidP="00461B41">
            <w:pPr>
              <w:ind w:firstLineChars="0" w:firstLine="0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2901" w:type="dxa"/>
            <w:noWrap/>
            <w:vAlign w:val="center"/>
            <w:hideMark/>
          </w:tcPr>
          <w:p w14:paraId="7AEBFAF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3C284F85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4ED7573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43</w:t>
            </w:r>
          </w:p>
        </w:tc>
        <w:tc>
          <w:tcPr>
            <w:tcW w:w="705" w:type="dxa"/>
            <w:noWrap/>
            <w:vAlign w:val="center"/>
            <w:hideMark/>
          </w:tcPr>
          <w:p w14:paraId="363ACE4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11.62</w:t>
            </w:r>
          </w:p>
        </w:tc>
        <w:tc>
          <w:tcPr>
            <w:tcW w:w="1067" w:type="dxa"/>
            <w:noWrap/>
            <w:vAlign w:val="center"/>
            <w:hideMark/>
          </w:tcPr>
          <w:p w14:paraId="09082AB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930.8384</w:t>
            </w:r>
          </w:p>
        </w:tc>
        <w:tc>
          <w:tcPr>
            <w:tcW w:w="644" w:type="dxa"/>
            <w:noWrap/>
            <w:vAlign w:val="center"/>
            <w:hideMark/>
          </w:tcPr>
          <w:p w14:paraId="195BC62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-11</w:t>
            </w:r>
          </w:p>
        </w:tc>
        <w:tc>
          <w:tcPr>
            <w:tcW w:w="2552" w:type="dxa"/>
            <w:noWrap/>
            <w:vAlign w:val="center"/>
            <w:hideMark/>
          </w:tcPr>
          <w:p w14:paraId="70CCF8C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TG(</w:t>
            </w:r>
            <w:proofErr w:type="gramEnd"/>
            <w:r w:rsidRPr="00461B41">
              <w:rPr>
                <w:rFonts w:eastAsia="DengXian" w:cs="Times New Roman"/>
                <w:color w:val="000000"/>
                <w:kern w:val="0"/>
              </w:rPr>
              <w:t>14:0/24:0/18:3(9Z,12Z,15Z))</w:t>
            </w:r>
          </w:p>
        </w:tc>
        <w:tc>
          <w:tcPr>
            <w:tcW w:w="1276" w:type="dxa"/>
            <w:noWrap/>
            <w:vAlign w:val="center"/>
            <w:hideMark/>
          </w:tcPr>
          <w:p w14:paraId="02705F0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59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108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6</w:t>
            </w:r>
          </w:p>
        </w:tc>
        <w:tc>
          <w:tcPr>
            <w:tcW w:w="992" w:type="dxa"/>
            <w:noWrap/>
            <w:vAlign w:val="center"/>
            <w:hideMark/>
          </w:tcPr>
          <w:p w14:paraId="2BFB6CA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678366C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1.38</w:t>
            </w:r>
          </w:p>
        </w:tc>
        <w:tc>
          <w:tcPr>
            <w:tcW w:w="977" w:type="dxa"/>
            <w:noWrap/>
            <w:vAlign w:val="center"/>
            <w:hideMark/>
          </w:tcPr>
          <w:p w14:paraId="370BE98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3.25E-04</w:t>
            </w:r>
          </w:p>
        </w:tc>
        <w:tc>
          <w:tcPr>
            <w:tcW w:w="866" w:type="dxa"/>
            <w:noWrap/>
            <w:vAlign w:val="center"/>
            <w:hideMark/>
          </w:tcPr>
          <w:p w14:paraId="5F0A506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29BA9ADE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</w:t>
            </w:r>
          </w:p>
        </w:tc>
        <w:tc>
          <w:tcPr>
            <w:tcW w:w="2901" w:type="dxa"/>
            <w:noWrap/>
            <w:vAlign w:val="center"/>
            <w:hideMark/>
          </w:tcPr>
          <w:p w14:paraId="76D3F34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18442102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717F76A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44</w:t>
            </w:r>
          </w:p>
        </w:tc>
        <w:tc>
          <w:tcPr>
            <w:tcW w:w="705" w:type="dxa"/>
            <w:noWrap/>
            <w:vAlign w:val="center"/>
            <w:hideMark/>
          </w:tcPr>
          <w:p w14:paraId="41F806F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12.01</w:t>
            </w:r>
          </w:p>
        </w:tc>
        <w:tc>
          <w:tcPr>
            <w:tcW w:w="1067" w:type="dxa"/>
            <w:noWrap/>
            <w:vAlign w:val="center"/>
            <w:hideMark/>
          </w:tcPr>
          <w:p w14:paraId="632FF5F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930.837</w:t>
            </w:r>
          </w:p>
        </w:tc>
        <w:tc>
          <w:tcPr>
            <w:tcW w:w="644" w:type="dxa"/>
            <w:noWrap/>
            <w:vAlign w:val="center"/>
            <w:hideMark/>
          </w:tcPr>
          <w:p w14:paraId="41FCD6F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-12.5</w:t>
            </w:r>
          </w:p>
        </w:tc>
        <w:tc>
          <w:tcPr>
            <w:tcW w:w="2552" w:type="dxa"/>
            <w:noWrap/>
            <w:vAlign w:val="center"/>
            <w:hideMark/>
          </w:tcPr>
          <w:p w14:paraId="1BCF4C0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TG(</w:t>
            </w:r>
            <w:proofErr w:type="gramEnd"/>
            <w:r w:rsidRPr="00461B41">
              <w:rPr>
                <w:rFonts w:eastAsia="DengXian" w:cs="Times New Roman"/>
                <w:color w:val="000000"/>
                <w:kern w:val="0"/>
              </w:rPr>
              <w:t>18:0/18:3(6Z,9Z,12Z)/20:0)</w:t>
            </w:r>
          </w:p>
        </w:tc>
        <w:tc>
          <w:tcPr>
            <w:tcW w:w="1276" w:type="dxa"/>
            <w:noWrap/>
            <w:vAlign w:val="center"/>
            <w:hideMark/>
          </w:tcPr>
          <w:p w14:paraId="7AA34B0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59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108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6</w:t>
            </w:r>
          </w:p>
        </w:tc>
        <w:tc>
          <w:tcPr>
            <w:tcW w:w="992" w:type="dxa"/>
            <w:noWrap/>
            <w:vAlign w:val="center"/>
            <w:hideMark/>
          </w:tcPr>
          <w:p w14:paraId="6583349F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75869E3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1.41</w:t>
            </w:r>
          </w:p>
        </w:tc>
        <w:tc>
          <w:tcPr>
            <w:tcW w:w="977" w:type="dxa"/>
            <w:noWrap/>
            <w:vAlign w:val="center"/>
            <w:hideMark/>
          </w:tcPr>
          <w:p w14:paraId="486F7CE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1.05E-04</w:t>
            </w:r>
          </w:p>
        </w:tc>
        <w:tc>
          <w:tcPr>
            <w:tcW w:w="866" w:type="dxa"/>
            <w:noWrap/>
            <w:vAlign w:val="center"/>
            <w:hideMark/>
          </w:tcPr>
          <w:p w14:paraId="78170E9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2796C56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↓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2901" w:type="dxa"/>
            <w:noWrap/>
            <w:vAlign w:val="center"/>
            <w:hideMark/>
          </w:tcPr>
          <w:p w14:paraId="5E204D5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--</w:t>
            </w:r>
          </w:p>
        </w:tc>
      </w:tr>
      <w:tr w:rsidR="00461B41" w:rsidRPr="00461B41" w14:paraId="6CCF6ED3" w14:textId="77777777" w:rsidTr="00461B41">
        <w:trPr>
          <w:trHeight w:val="20"/>
          <w:jc w:val="center"/>
        </w:trPr>
        <w:tc>
          <w:tcPr>
            <w:tcW w:w="419" w:type="dxa"/>
            <w:noWrap/>
            <w:vAlign w:val="center"/>
            <w:hideMark/>
          </w:tcPr>
          <w:p w14:paraId="08B2FCC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45</w:t>
            </w:r>
          </w:p>
        </w:tc>
        <w:tc>
          <w:tcPr>
            <w:tcW w:w="705" w:type="dxa"/>
            <w:noWrap/>
            <w:vAlign w:val="center"/>
            <w:hideMark/>
          </w:tcPr>
          <w:p w14:paraId="5597465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12.16</w:t>
            </w:r>
          </w:p>
        </w:tc>
        <w:tc>
          <w:tcPr>
            <w:tcW w:w="1067" w:type="dxa"/>
            <w:noWrap/>
            <w:vAlign w:val="center"/>
            <w:hideMark/>
          </w:tcPr>
          <w:p w14:paraId="2772435C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423.3277</w:t>
            </w:r>
          </w:p>
        </w:tc>
        <w:tc>
          <w:tcPr>
            <w:tcW w:w="644" w:type="dxa"/>
            <w:noWrap/>
            <w:vAlign w:val="center"/>
            <w:hideMark/>
          </w:tcPr>
          <w:p w14:paraId="658EEC6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-41.8</w:t>
            </w:r>
          </w:p>
        </w:tc>
        <w:tc>
          <w:tcPr>
            <w:tcW w:w="2552" w:type="dxa"/>
            <w:noWrap/>
            <w:vAlign w:val="center"/>
            <w:hideMark/>
          </w:tcPr>
          <w:p w14:paraId="370FE5F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Dodecanoic acid</w:t>
            </w:r>
          </w:p>
        </w:tc>
        <w:tc>
          <w:tcPr>
            <w:tcW w:w="1276" w:type="dxa"/>
            <w:noWrap/>
            <w:vAlign w:val="center"/>
            <w:hideMark/>
          </w:tcPr>
          <w:p w14:paraId="77F4FCB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12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</w:t>
            </w:r>
          </w:p>
        </w:tc>
        <w:tc>
          <w:tcPr>
            <w:tcW w:w="992" w:type="dxa"/>
            <w:noWrap/>
            <w:vAlign w:val="center"/>
            <w:hideMark/>
          </w:tcPr>
          <w:p w14:paraId="0C8F8167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[M+</w:t>
            </w:r>
            <w:proofErr w:type="gramStart"/>
            <w:r w:rsidRPr="00461B41">
              <w:rPr>
                <w:rFonts w:eastAsia="DengXian" w:cs="Times New Roman"/>
                <w:color w:val="000000"/>
                <w:kern w:val="0"/>
              </w:rPr>
              <w:t>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+</w:t>
            </w:r>
            <w:proofErr w:type="gramEnd"/>
          </w:p>
        </w:tc>
        <w:tc>
          <w:tcPr>
            <w:tcW w:w="425" w:type="dxa"/>
            <w:noWrap/>
            <w:vAlign w:val="center"/>
            <w:hideMark/>
          </w:tcPr>
          <w:p w14:paraId="7863F13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1.74</w:t>
            </w:r>
          </w:p>
        </w:tc>
        <w:tc>
          <w:tcPr>
            <w:tcW w:w="977" w:type="dxa"/>
            <w:noWrap/>
            <w:vAlign w:val="center"/>
            <w:hideMark/>
          </w:tcPr>
          <w:p w14:paraId="2D295F36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2.38E-03</w:t>
            </w:r>
          </w:p>
        </w:tc>
        <w:tc>
          <w:tcPr>
            <w:tcW w:w="866" w:type="dxa"/>
            <w:noWrap/>
            <w:vAlign w:val="center"/>
            <w:hideMark/>
          </w:tcPr>
          <w:p w14:paraId="2736764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noWrap/>
            <w:vAlign w:val="center"/>
            <w:hideMark/>
          </w:tcPr>
          <w:p w14:paraId="6F637B12" w14:textId="77777777" w:rsidR="00461B41" w:rsidRPr="00461B41" w:rsidRDefault="00461B41" w:rsidP="00461B41">
            <w:pPr>
              <w:ind w:firstLineChars="0" w:firstLine="0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2901" w:type="dxa"/>
            <w:noWrap/>
            <w:vAlign w:val="center"/>
            <w:hideMark/>
          </w:tcPr>
          <w:p w14:paraId="56754B1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Fatty acid biosynthesis</w:t>
            </w:r>
          </w:p>
        </w:tc>
      </w:tr>
      <w:tr w:rsidR="00461B41" w:rsidRPr="00461B41" w14:paraId="11B798EB" w14:textId="77777777" w:rsidTr="00461B41">
        <w:trPr>
          <w:trHeight w:val="20"/>
          <w:jc w:val="center"/>
        </w:trPr>
        <w:tc>
          <w:tcPr>
            <w:tcW w:w="419" w:type="dxa"/>
            <w:tcBorders>
              <w:top w:val="nil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6CDB85F1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46</w:t>
            </w: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3CAE60F8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13.39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08CACBA9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477.0093</w:t>
            </w:r>
          </w:p>
        </w:tc>
        <w:tc>
          <w:tcPr>
            <w:tcW w:w="644" w:type="dxa"/>
            <w:tcBorders>
              <w:top w:val="nil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66F3C365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-70.4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309BF1F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CDP-Ethanolamine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699DE592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C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11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H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20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N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4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O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13</w:t>
            </w:r>
            <w:r w:rsidRPr="00461B41">
              <w:rPr>
                <w:rFonts w:eastAsia="DengXian" w:cs="Times New Roman"/>
                <w:color w:val="000000"/>
                <w:kern w:val="0"/>
              </w:rPr>
              <w:t>P</w:t>
            </w:r>
            <w:r w:rsidRPr="00461B41">
              <w:rPr>
                <w:rFonts w:eastAsia="DengXian" w:cs="Times New Roman"/>
                <w:color w:val="000000"/>
                <w:kern w:val="0"/>
                <w:vertAlign w:val="subscript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697CFA43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[M-H]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-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7A99CF94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1.28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79BD488A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1.46E-03</w:t>
            </w:r>
          </w:p>
        </w:tc>
        <w:tc>
          <w:tcPr>
            <w:tcW w:w="866" w:type="dxa"/>
            <w:tcBorders>
              <w:top w:val="nil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6D94C600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↑</w:t>
            </w:r>
            <w:r w:rsidRPr="00461B41">
              <w:rPr>
                <w:rFonts w:eastAsia="DengXian" w:cs="Times New Roman"/>
                <w:color w:val="000000"/>
                <w:kern w:val="0"/>
                <w:vertAlign w:val="superscript"/>
              </w:rPr>
              <w:t>**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7F7CCF2E" w14:textId="77777777" w:rsidR="00461B41" w:rsidRPr="00461B41" w:rsidRDefault="00461B41" w:rsidP="00461B41">
            <w:pPr>
              <w:ind w:firstLineChars="0" w:firstLine="0"/>
              <w:rPr>
                <w:rFonts w:eastAsia="DengXian" w:cs="Times New Roman"/>
                <w:color w:val="000000"/>
                <w:kern w:val="0"/>
              </w:rPr>
            </w:pPr>
          </w:p>
        </w:tc>
        <w:tc>
          <w:tcPr>
            <w:tcW w:w="2901" w:type="dxa"/>
            <w:tcBorders>
              <w:top w:val="nil"/>
              <w:left w:val="nil"/>
              <w:bottom w:val="single" w:sz="8" w:space="0" w:color="000000"/>
              <w:right w:val="nil"/>
            </w:tcBorders>
            <w:noWrap/>
            <w:vAlign w:val="center"/>
            <w:hideMark/>
          </w:tcPr>
          <w:p w14:paraId="7225082D" w14:textId="77777777" w:rsidR="00461B41" w:rsidRPr="00461B41" w:rsidRDefault="00461B41" w:rsidP="00461B41">
            <w:pPr>
              <w:widowControl/>
              <w:adjustRightInd w:val="0"/>
              <w:snapToGrid w:val="0"/>
              <w:ind w:firstLineChars="0" w:firstLine="0"/>
              <w:jc w:val="center"/>
              <w:rPr>
                <w:rFonts w:eastAsia="DengXian" w:cs="Times New Roman"/>
                <w:color w:val="000000"/>
                <w:kern w:val="0"/>
              </w:rPr>
            </w:pPr>
            <w:r w:rsidRPr="00461B41">
              <w:rPr>
                <w:rFonts w:eastAsia="DengXian" w:cs="Times New Roman"/>
                <w:color w:val="000000"/>
                <w:kern w:val="0"/>
              </w:rPr>
              <w:t>Glycerophospholipid metabolism</w:t>
            </w:r>
          </w:p>
        </w:tc>
      </w:tr>
    </w:tbl>
    <w:p w14:paraId="4B721882" w14:textId="77777777" w:rsidR="00461B41" w:rsidRPr="00461B41" w:rsidRDefault="00461B41" w:rsidP="00461B41">
      <w:pPr>
        <w:widowControl/>
        <w:ind w:firstLineChars="0" w:firstLine="0"/>
        <w:jc w:val="left"/>
        <w:rPr>
          <w:rFonts w:eastAsia="宋体" w:cs="Times New Roman"/>
        </w:rPr>
      </w:pPr>
      <w:r w:rsidRPr="00461B41">
        <w:rPr>
          <w:rFonts w:eastAsia="宋体" w:cs="Times New Roman"/>
        </w:rPr>
        <w:t>Notes: ** indicates a statistically significant change (</w:t>
      </w:r>
      <w:r w:rsidRPr="00461B41">
        <w:rPr>
          <w:rFonts w:eastAsia="宋体" w:cs="Times New Roman"/>
          <w:i/>
        </w:rPr>
        <w:t>p&lt;</w:t>
      </w:r>
      <w:r w:rsidRPr="00461B41">
        <w:rPr>
          <w:rFonts w:eastAsia="宋体" w:cs="Times New Roman"/>
        </w:rPr>
        <w:t>0.01) in the metabolite levels, * indicates a statistically significant change (</w:t>
      </w:r>
      <w:r w:rsidRPr="00461B41">
        <w:rPr>
          <w:rFonts w:eastAsia="宋体" w:cs="Times New Roman"/>
          <w:i/>
        </w:rPr>
        <w:t>p&lt;</w:t>
      </w:r>
      <w:r w:rsidRPr="00461B41">
        <w:rPr>
          <w:rFonts w:eastAsia="宋体" w:cs="Times New Roman"/>
        </w:rPr>
        <w:t>0.05) in the metabolite levels.</w:t>
      </w:r>
    </w:p>
    <w:p w14:paraId="73230259" w14:textId="77777777" w:rsidR="00461B41" w:rsidRPr="00461B41" w:rsidRDefault="00461B41" w:rsidP="00461B41">
      <w:pPr>
        <w:widowControl/>
        <w:ind w:firstLineChars="0" w:firstLine="0"/>
        <w:jc w:val="left"/>
        <w:rPr>
          <w:rFonts w:eastAsia="宋体" w:cs="Times New Roman"/>
        </w:rPr>
      </w:pPr>
    </w:p>
    <w:p w14:paraId="211E0958" w14:textId="77777777" w:rsidR="00461B41" w:rsidRPr="00461B41" w:rsidRDefault="00461B41" w:rsidP="00461B41">
      <w:pPr>
        <w:widowControl/>
        <w:ind w:firstLineChars="0" w:firstLine="0"/>
        <w:jc w:val="left"/>
        <w:rPr>
          <w:rFonts w:eastAsia="宋体" w:cs="Times New Roman"/>
        </w:rPr>
        <w:sectPr w:rsidR="00461B41" w:rsidRPr="00461B41" w:rsidSect="006B60BB">
          <w:pgSz w:w="16838" w:h="11906" w:orient="landscape"/>
          <w:pgMar w:top="1134" w:right="851" w:bottom="1134" w:left="851" w:header="851" w:footer="992" w:gutter="0"/>
          <w:lnNumType w:countBy="1" w:restart="continuous"/>
          <w:cols w:space="720"/>
          <w:docGrid w:type="lines" w:linePitch="312"/>
        </w:sectPr>
      </w:pPr>
    </w:p>
    <w:p w14:paraId="185935EF" w14:textId="77777777" w:rsidR="00461B41" w:rsidRPr="00461B41" w:rsidRDefault="00461B41" w:rsidP="00461B41">
      <w:pPr>
        <w:adjustRightInd w:val="0"/>
        <w:snapToGrid w:val="0"/>
        <w:ind w:firstLineChars="0" w:firstLine="0"/>
        <w:jc w:val="left"/>
        <w:rPr>
          <w:rFonts w:eastAsia="宋体" w:cs="Times New Roman"/>
        </w:rPr>
      </w:pPr>
    </w:p>
    <w:p w14:paraId="3176D7CF" w14:textId="77777777" w:rsidR="00461B41" w:rsidRPr="00461B41" w:rsidRDefault="00461B41" w:rsidP="00461B41">
      <w:pPr>
        <w:adjustRightInd w:val="0"/>
        <w:snapToGrid w:val="0"/>
        <w:ind w:firstLineChars="0" w:firstLine="0"/>
        <w:jc w:val="left"/>
        <w:rPr>
          <w:rFonts w:eastAsia="宋体" w:cs="Times New Roman"/>
        </w:rPr>
      </w:pPr>
      <w:r w:rsidRPr="00461B41">
        <w:rPr>
          <w:rFonts w:eastAsia="宋体" w:cs="Times New Roman"/>
          <w:noProof/>
          <w:lang w:val="en-SG"/>
        </w:rPr>
        <w:drawing>
          <wp:inline distT="0" distB="0" distL="0" distR="0" wp14:anchorId="7F38D2E6" wp14:editId="0F914535">
            <wp:extent cx="5181600" cy="3177540"/>
            <wp:effectExtent l="0" t="0" r="0" b="3810"/>
            <wp:docPr id="7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317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41ECB4" w14:textId="77777777" w:rsidR="00461B41" w:rsidRPr="00461B41" w:rsidRDefault="00461B41" w:rsidP="00461B41">
      <w:pPr>
        <w:adjustRightInd w:val="0"/>
        <w:snapToGrid w:val="0"/>
        <w:spacing w:line="480" w:lineRule="auto"/>
        <w:ind w:firstLineChars="0" w:firstLine="0"/>
        <w:jc w:val="left"/>
        <w:rPr>
          <w:rFonts w:eastAsia="宋体" w:cs="Times New Roman"/>
        </w:rPr>
      </w:pPr>
      <w:r w:rsidRPr="00461B41">
        <w:rPr>
          <w:rFonts w:eastAsia="宋体" w:cs="Times New Roman"/>
          <w:noProof/>
          <w:lang w:val="en-SG"/>
        </w:rPr>
        <w:drawing>
          <wp:inline distT="0" distB="0" distL="0" distR="0" wp14:anchorId="0C0F5446" wp14:editId="24709F05">
            <wp:extent cx="5128260" cy="3261360"/>
            <wp:effectExtent l="0" t="0" r="0" b="0"/>
            <wp:docPr id="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8260" cy="326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227A52" w14:textId="417861AA" w:rsidR="00461B41" w:rsidRPr="00461B41" w:rsidRDefault="00461B41" w:rsidP="0024417C">
      <w:pPr>
        <w:widowControl/>
        <w:adjustRightInd w:val="0"/>
        <w:snapToGrid w:val="0"/>
        <w:spacing w:line="480" w:lineRule="auto"/>
        <w:ind w:firstLineChars="0" w:firstLine="0"/>
        <w:rPr>
          <w:rFonts w:eastAsia="宋体" w:cs="Times New Roman"/>
          <w:color w:val="000000"/>
          <w:shd w:val="clear" w:color="auto" w:fill="FFFFFF"/>
        </w:rPr>
      </w:pPr>
      <w:bookmarkStart w:id="0" w:name="_Hlk161344374"/>
      <w:r w:rsidRPr="00461B41">
        <w:rPr>
          <w:rFonts w:eastAsia="宋体" w:cs="Times New Roman"/>
          <w:b/>
          <w:bCs/>
          <w:color w:val="000000"/>
        </w:rPr>
        <w:t>Supplementary Fig</w:t>
      </w:r>
      <w:bookmarkEnd w:id="0"/>
      <w:r w:rsidRPr="00461B41">
        <w:rPr>
          <w:rFonts w:eastAsia="宋体" w:cs="Times New Roman"/>
          <w:b/>
          <w:bCs/>
          <w:color w:val="000000"/>
        </w:rPr>
        <w:t>. 1.</w:t>
      </w:r>
      <w:r w:rsidRPr="00461B41">
        <w:rPr>
          <w:rFonts w:eastAsia="宋体" w:cs="Times New Roman"/>
          <w:bCs/>
          <w:color w:val="000000"/>
        </w:rPr>
        <w:t xml:space="preserve"> </w:t>
      </w:r>
      <w:r w:rsidRPr="009D1E9F">
        <w:rPr>
          <w:rFonts w:eastAsia="宋体" w:cs="Times New Roman"/>
          <w:b/>
          <w:bCs/>
          <w:color w:val="000000"/>
          <w:lang w:bidi="ar"/>
        </w:rPr>
        <w:t>Total ion chromatograms of HC extract analyzed by UPLC-Q-</w:t>
      </w:r>
      <w:proofErr w:type="spellStart"/>
      <w:r w:rsidRPr="009D1E9F">
        <w:rPr>
          <w:rFonts w:eastAsia="宋体" w:cs="Times New Roman"/>
          <w:b/>
          <w:bCs/>
          <w:color w:val="000000"/>
          <w:lang w:bidi="ar"/>
        </w:rPr>
        <w:t>Exactive</w:t>
      </w:r>
      <w:proofErr w:type="spellEnd"/>
      <w:r w:rsidRPr="009D1E9F">
        <w:rPr>
          <w:rFonts w:eastAsia="宋体" w:cs="Times New Roman"/>
          <w:b/>
          <w:bCs/>
          <w:color w:val="000000"/>
          <w:lang w:bidi="ar"/>
        </w:rPr>
        <w:t xml:space="preserve"> </w:t>
      </w:r>
      <w:r w:rsidRPr="009D1E9F">
        <w:rPr>
          <w:rFonts w:eastAsia="宋体" w:cs="Times New Roman"/>
          <w:b/>
          <w:bCs/>
          <w:color w:val="000000"/>
        </w:rPr>
        <w:t xml:space="preserve">Focus MS </w:t>
      </w:r>
      <w:bookmarkStart w:id="1" w:name="OLE_LINK8"/>
      <w:bookmarkStart w:id="2" w:name="OLE_LINK7"/>
      <w:r w:rsidRPr="009D1E9F">
        <w:rPr>
          <w:rFonts w:eastAsia="宋体" w:cs="Times New Roman"/>
          <w:b/>
          <w:bCs/>
          <w:color w:val="000000"/>
        </w:rPr>
        <w:t xml:space="preserve">in </w:t>
      </w:r>
      <w:r w:rsidRPr="009D1E9F">
        <w:rPr>
          <w:rFonts w:eastAsia="宋体" w:cs="Times New Roman"/>
          <w:b/>
          <w:bCs/>
          <w:color w:val="000000"/>
          <w:shd w:val="clear" w:color="auto" w:fill="FFFFFF"/>
        </w:rPr>
        <w:t>positive</w:t>
      </w:r>
      <w:r w:rsidRPr="00461B41">
        <w:rPr>
          <w:rFonts w:eastAsia="宋体" w:cs="Times New Roman"/>
          <w:color w:val="000000"/>
          <w:shd w:val="clear" w:color="auto" w:fill="FFFFFF"/>
        </w:rPr>
        <w:t xml:space="preserve"> </w:t>
      </w:r>
      <w:r w:rsidRPr="00555628">
        <w:rPr>
          <w:rFonts w:eastAsia="宋体" w:cs="Times New Roman"/>
          <w:b/>
          <w:bCs/>
          <w:color w:val="000000"/>
        </w:rPr>
        <w:t>(</w:t>
      </w:r>
      <w:r w:rsidR="00555628">
        <w:rPr>
          <w:rFonts w:eastAsia="宋体" w:cs="Times New Roman" w:hint="eastAsia"/>
          <w:b/>
          <w:bCs/>
          <w:color w:val="000000"/>
        </w:rPr>
        <w:t>A</w:t>
      </w:r>
      <w:r w:rsidRPr="00555628">
        <w:rPr>
          <w:rFonts w:eastAsia="宋体" w:cs="Times New Roman"/>
          <w:b/>
          <w:bCs/>
          <w:color w:val="000000"/>
        </w:rPr>
        <w:t>)</w:t>
      </w:r>
      <w:r w:rsidRPr="00555628">
        <w:rPr>
          <w:rFonts w:eastAsia="宋体" w:cs="Times New Roman"/>
          <w:b/>
          <w:bCs/>
          <w:color w:val="000000"/>
          <w:shd w:val="clear" w:color="auto" w:fill="FFFFFF"/>
        </w:rPr>
        <w:t xml:space="preserve"> and</w:t>
      </w:r>
      <w:r w:rsidRPr="00555628">
        <w:rPr>
          <w:rFonts w:eastAsia="宋体" w:cs="Times New Roman"/>
          <w:b/>
          <w:bCs/>
          <w:color w:val="000000"/>
        </w:rPr>
        <w:t xml:space="preserve"> </w:t>
      </w:r>
      <w:r w:rsidRPr="00555628">
        <w:rPr>
          <w:rFonts w:eastAsia="宋体" w:cs="Times New Roman"/>
          <w:b/>
          <w:bCs/>
          <w:color w:val="000000"/>
          <w:shd w:val="clear" w:color="auto" w:fill="FFFFFF"/>
        </w:rPr>
        <w:t xml:space="preserve">negative ion </w:t>
      </w:r>
      <w:r w:rsidRPr="00555628">
        <w:rPr>
          <w:rFonts w:eastAsia="宋体" w:cs="Times New Roman"/>
          <w:b/>
          <w:bCs/>
          <w:color w:val="000000"/>
        </w:rPr>
        <w:t>(</w:t>
      </w:r>
      <w:r w:rsidR="00555628">
        <w:rPr>
          <w:rFonts w:eastAsia="宋体" w:cs="Times New Roman" w:hint="eastAsia"/>
          <w:b/>
          <w:bCs/>
          <w:color w:val="000000"/>
        </w:rPr>
        <w:t>B</w:t>
      </w:r>
      <w:r w:rsidRPr="00555628">
        <w:rPr>
          <w:rFonts w:eastAsia="宋体" w:cs="Times New Roman"/>
          <w:b/>
          <w:bCs/>
          <w:color w:val="000000"/>
        </w:rPr>
        <w:t xml:space="preserve">) </w:t>
      </w:r>
      <w:r w:rsidRPr="00555628">
        <w:rPr>
          <w:rFonts w:eastAsia="宋体" w:cs="Times New Roman"/>
          <w:b/>
          <w:bCs/>
          <w:color w:val="000000"/>
          <w:shd w:val="clear" w:color="auto" w:fill="FFFFFF"/>
        </w:rPr>
        <w:t>mode</w:t>
      </w:r>
      <w:bookmarkEnd w:id="1"/>
      <w:bookmarkEnd w:id="2"/>
      <w:r w:rsidRPr="00555628">
        <w:rPr>
          <w:rFonts w:eastAsia="宋体" w:cs="Times New Roman"/>
          <w:b/>
          <w:bCs/>
          <w:color w:val="000000"/>
          <w:shd w:val="clear" w:color="auto" w:fill="FFFFFF"/>
        </w:rPr>
        <w:t>s.</w:t>
      </w:r>
    </w:p>
    <w:p w14:paraId="00BBA031" w14:textId="77777777" w:rsidR="00461B41" w:rsidRPr="00461B41" w:rsidRDefault="00461B41" w:rsidP="00461B41">
      <w:pPr>
        <w:adjustRightInd w:val="0"/>
        <w:snapToGrid w:val="0"/>
        <w:spacing w:line="480" w:lineRule="auto"/>
        <w:ind w:firstLineChars="0" w:firstLine="0"/>
        <w:rPr>
          <w:rFonts w:eastAsia="宋体" w:cs="Times New Roman"/>
          <w:color w:val="000000"/>
          <w:shd w:val="clear" w:color="auto" w:fill="FFFFFF"/>
        </w:rPr>
      </w:pPr>
      <w:r w:rsidRPr="00461B41">
        <w:rPr>
          <w:rFonts w:eastAsia="宋体" w:cs="Times New Roman"/>
          <w:color w:val="000000"/>
          <w:shd w:val="clear" w:color="auto" w:fill="FFFFFF"/>
        </w:rPr>
        <w:br w:type="page"/>
      </w:r>
    </w:p>
    <w:p w14:paraId="38FD29C7" w14:textId="77777777" w:rsidR="00461B41" w:rsidRPr="00461B41" w:rsidRDefault="00461B41" w:rsidP="00461B41">
      <w:pPr>
        <w:adjustRightInd w:val="0"/>
        <w:snapToGrid w:val="0"/>
        <w:spacing w:line="480" w:lineRule="auto"/>
        <w:ind w:firstLineChars="0" w:firstLine="0"/>
        <w:rPr>
          <w:rFonts w:eastAsia="宋体" w:cs="Times New Roman"/>
          <w:color w:val="000000"/>
          <w:shd w:val="clear" w:color="auto" w:fill="FFFFFF"/>
        </w:rPr>
      </w:pPr>
    </w:p>
    <w:p w14:paraId="6338970D" w14:textId="77777777" w:rsidR="00461B41" w:rsidRPr="00461B41" w:rsidRDefault="00461B41" w:rsidP="00461B41">
      <w:pPr>
        <w:adjustRightInd w:val="0"/>
        <w:snapToGrid w:val="0"/>
        <w:spacing w:line="480" w:lineRule="auto"/>
        <w:ind w:firstLineChars="0" w:firstLine="0"/>
        <w:rPr>
          <w:rFonts w:eastAsia="宋体" w:cs="Times New Roman"/>
          <w:color w:val="000000"/>
        </w:rPr>
      </w:pPr>
      <w:r w:rsidRPr="00461B41">
        <w:rPr>
          <w:rFonts w:eastAsia="宋体" w:cs="Times New Roman"/>
          <w:noProof/>
          <w:lang w:val="en-SG"/>
        </w:rPr>
        <w:drawing>
          <wp:inline distT="0" distB="0" distL="0" distR="0" wp14:anchorId="5BD3F6E8" wp14:editId="4FB66C96">
            <wp:extent cx="5760000" cy="4596364"/>
            <wp:effectExtent l="0" t="0" r="0" b="0"/>
            <wp:docPr id="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596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07B846" w14:textId="77777777" w:rsidR="00461B41" w:rsidRPr="00461B41" w:rsidRDefault="00461B41" w:rsidP="00461B41">
      <w:pPr>
        <w:adjustRightInd w:val="0"/>
        <w:snapToGrid w:val="0"/>
        <w:spacing w:line="480" w:lineRule="auto"/>
        <w:ind w:firstLineChars="0" w:firstLine="0"/>
        <w:rPr>
          <w:rFonts w:eastAsia="宋体" w:cs="Times New Roman"/>
          <w:color w:val="000000"/>
        </w:rPr>
      </w:pPr>
      <w:r w:rsidRPr="00461B41">
        <w:rPr>
          <w:rFonts w:eastAsia="宋体" w:cs="Times New Roman"/>
          <w:noProof/>
          <w:lang w:val="en-SG"/>
        </w:rPr>
        <w:drawing>
          <wp:inline distT="0" distB="0" distL="0" distR="0" wp14:anchorId="2C26EB15" wp14:editId="72A56F94">
            <wp:extent cx="2880000" cy="2032432"/>
            <wp:effectExtent l="0" t="0" r="0" b="6350"/>
            <wp:docPr id="1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032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1B41">
        <w:rPr>
          <w:rFonts w:eastAsia="宋体" w:cs="Times New Roman"/>
          <w:noProof/>
          <w:lang w:val="en-SG"/>
        </w:rPr>
        <w:t xml:space="preserve"> </w:t>
      </w:r>
      <w:r w:rsidRPr="00461B41">
        <w:rPr>
          <w:rFonts w:eastAsia="宋体" w:cs="Times New Roman"/>
          <w:noProof/>
          <w:lang w:val="en-SG"/>
        </w:rPr>
        <w:drawing>
          <wp:inline distT="0" distB="0" distL="0" distR="0" wp14:anchorId="0971834E" wp14:editId="6095ECAC">
            <wp:extent cx="2880000" cy="2020174"/>
            <wp:effectExtent l="0" t="0" r="0" b="0"/>
            <wp:docPr id="1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020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351424" w14:textId="2A98485C" w:rsidR="00461B41" w:rsidRPr="009D1E9F" w:rsidRDefault="00461B41" w:rsidP="00461B41">
      <w:pPr>
        <w:adjustRightInd w:val="0"/>
        <w:snapToGrid w:val="0"/>
        <w:spacing w:line="480" w:lineRule="auto"/>
        <w:ind w:firstLineChars="0" w:firstLine="0"/>
        <w:rPr>
          <w:rFonts w:eastAsia="宋体" w:cs="Times New Roman"/>
          <w:b/>
          <w:bCs/>
          <w:color w:val="000000"/>
        </w:rPr>
      </w:pPr>
      <w:r w:rsidRPr="00461B41">
        <w:rPr>
          <w:rFonts w:eastAsia="宋体" w:cs="Times New Roman"/>
          <w:b/>
          <w:bCs/>
          <w:color w:val="000000"/>
        </w:rPr>
        <w:t>Supplementary Fig. 2</w:t>
      </w:r>
      <w:r w:rsidRPr="00461B41">
        <w:rPr>
          <w:rFonts w:eastAsia="宋体" w:cs="Times New Roman"/>
          <w:color w:val="000000"/>
        </w:rPr>
        <w:t xml:space="preserve">. </w:t>
      </w:r>
      <w:r w:rsidRPr="009D1E9F">
        <w:rPr>
          <w:rFonts w:eastAsia="宋体" w:cs="Times New Roman"/>
          <w:b/>
          <w:bCs/>
          <w:color w:val="000000"/>
        </w:rPr>
        <w:t xml:space="preserve">Total ion chromatogram (TIC) diagram and principal component analysis (PCA) analysis of quality control (QC) samples. </w:t>
      </w:r>
    </w:p>
    <w:p w14:paraId="4D65DEA1" w14:textId="13EB577D" w:rsidR="00461B41" w:rsidRPr="00461B41" w:rsidRDefault="00461B41" w:rsidP="0024417C">
      <w:pPr>
        <w:widowControl/>
        <w:adjustRightInd w:val="0"/>
        <w:snapToGrid w:val="0"/>
        <w:spacing w:line="480" w:lineRule="auto"/>
        <w:ind w:firstLineChars="0" w:firstLine="0"/>
        <w:rPr>
          <w:rFonts w:eastAsia="宋体" w:cs="Times New Roman"/>
          <w:color w:val="000000"/>
        </w:rPr>
      </w:pPr>
      <w:r w:rsidRPr="00461B41">
        <w:rPr>
          <w:rFonts w:eastAsia="宋体" w:cs="Times New Roman"/>
          <w:color w:val="000000"/>
        </w:rPr>
        <w:t>Notes: (</w:t>
      </w:r>
      <w:r w:rsidRPr="00461B41">
        <w:rPr>
          <w:rFonts w:eastAsia="宋体" w:cs="Times New Roman"/>
          <w:b/>
          <w:color w:val="000000"/>
        </w:rPr>
        <w:t>A-C</w:t>
      </w:r>
      <w:r w:rsidRPr="00461B41">
        <w:rPr>
          <w:rFonts w:eastAsia="宋体" w:cs="Times New Roman"/>
          <w:color w:val="000000"/>
        </w:rPr>
        <w:t>) Positive ion TIC diagram of the Control, Model, and HCH groups. (</w:t>
      </w:r>
      <w:r w:rsidRPr="00461B41">
        <w:rPr>
          <w:rFonts w:eastAsia="宋体" w:cs="Times New Roman"/>
          <w:b/>
          <w:color w:val="000000"/>
        </w:rPr>
        <w:t>D-F</w:t>
      </w:r>
      <w:r w:rsidRPr="00461B41">
        <w:rPr>
          <w:rFonts w:eastAsia="宋体" w:cs="Times New Roman"/>
          <w:color w:val="000000"/>
        </w:rPr>
        <w:t>) Negative ion TIC diagram of the Control, Model, and HCH treatment groups. (</w:t>
      </w:r>
      <w:r w:rsidRPr="00461B41">
        <w:rPr>
          <w:rFonts w:eastAsia="宋体" w:cs="Times New Roman"/>
          <w:b/>
          <w:color w:val="000000"/>
        </w:rPr>
        <w:t>G</w:t>
      </w:r>
      <w:r w:rsidRPr="00461B41">
        <w:rPr>
          <w:rFonts w:eastAsia="宋体" w:cs="Times New Roman"/>
          <w:color w:val="000000"/>
        </w:rPr>
        <w:t>) Positive-ion QC sample PCA graph. (</w:t>
      </w:r>
      <w:r w:rsidRPr="00461B41">
        <w:rPr>
          <w:rFonts w:eastAsia="宋体" w:cs="Times New Roman"/>
          <w:b/>
          <w:color w:val="000000"/>
        </w:rPr>
        <w:t>H</w:t>
      </w:r>
      <w:r w:rsidRPr="00461B41">
        <w:rPr>
          <w:rFonts w:eastAsia="宋体" w:cs="Times New Roman"/>
          <w:color w:val="000000"/>
        </w:rPr>
        <w:t>) PCA chart for negative-ion QC samples.</w:t>
      </w:r>
      <w:r w:rsidRPr="00461B41">
        <w:rPr>
          <w:rFonts w:eastAsia="宋体" w:cs="Times New Roman"/>
          <w:color w:val="000000"/>
        </w:rPr>
        <w:br w:type="page"/>
      </w:r>
    </w:p>
    <w:p w14:paraId="581AA68C" w14:textId="77777777" w:rsidR="00461B41" w:rsidRPr="00461B41" w:rsidRDefault="00461B41" w:rsidP="00461B41">
      <w:pPr>
        <w:adjustRightInd w:val="0"/>
        <w:snapToGrid w:val="0"/>
        <w:spacing w:line="480" w:lineRule="auto"/>
        <w:ind w:firstLineChars="0" w:firstLine="0"/>
        <w:rPr>
          <w:rFonts w:eastAsia="宋体" w:cs="Times New Roman"/>
          <w:color w:val="000000"/>
        </w:rPr>
      </w:pPr>
    </w:p>
    <w:p w14:paraId="11741D75" w14:textId="77777777" w:rsidR="00461B41" w:rsidRPr="00461B41" w:rsidRDefault="00461B41" w:rsidP="00461B41">
      <w:pPr>
        <w:widowControl/>
        <w:spacing w:line="480" w:lineRule="auto"/>
        <w:ind w:firstLineChars="0" w:firstLine="0"/>
        <w:rPr>
          <w:rFonts w:eastAsia="宋体" w:cs="Times New Roman"/>
          <w:color w:val="000000"/>
          <w:kern w:val="0"/>
        </w:rPr>
      </w:pPr>
      <w:r w:rsidRPr="00461B41">
        <w:rPr>
          <w:rFonts w:eastAsia="宋体" w:cs="Times New Roman"/>
          <w:noProof/>
          <w:color w:val="000000"/>
          <w:kern w:val="0"/>
          <w:lang w:val="en-SG"/>
        </w:rPr>
        <w:drawing>
          <wp:inline distT="0" distB="0" distL="0" distR="0" wp14:anchorId="085CBA8C" wp14:editId="1EC09EF3">
            <wp:extent cx="6480000" cy="5941574"/>
            <wp:effectExtent l="0" t="0" r="0" b="2540"/>
            <wp:docPr id="12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56" t="3778" r="208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5941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9AC7C1" w14:textId="77FDCF51" w:rsidR="00461B41" w:rsidRPr="00461B41" w:rsidRDefault="00461B41" w:rsidP="0024417C">
      <w:pPr>
        <w:widowControl/>
        <w:adjustRightInd w:val="0"/>
        <w:snapToGrid w:val="0"/>
        <w:spacing w:line="480" w:lineRule="auto"/>
        <w:ind w:firstLineChars="0" w:firstLine="0"/>
        <w:rPr>
          <w:rFonts w:eastAsia="宋体" w:cs="Times New Roman"/>
        </w:rPr>
      </w:pPr>
      <w:r w:rsidRPr="00461B41">
        <w:rPr>
          <w:rFonts w:eastAsia="宋体" w:cs="Times New Roman"/>
          <w:b/>
          <w:bCs/>
        </w:rPr>
        <w:t>Supplementary Fig. 3.</w:t>
      </w:r>
      <w:r w:rsidRPr="00461B41">
        <w:rPr>
          <w:rFonts w:eastAsia="宋体" w:cs="Times New Roman"/>
          <w:bCs/>
        </w:rPr>
        <w:t xml:space="preserve"> </w:t>
      </w:r>
      <w:r w:rsidRPr="00FA7B55">
        <w:rPr>
          <w:rFonts w:eastAsia="宋体" w:cs="Times New Roman"/>
          <w:b/>
          <w:bCs/>
        </w:rPr>
        <w:t xml:space="preserve">Compound-reaction-enzyme-gene networks of key metabolites and DEGs using </w:t>
      </w:r>
      <w:proofErr w:type="spellStart"/>
      <w:r w:rsidRPr="00FA7B55">
        <w:rPr>
          <w:rFonts w:eastAsia="宋体" w:cs="Times New Roman"/>
          <w:b/>
          <w:bCs/>
        </w:rPr>
        <w:t>Metascape</w:t>
      </w:r>
      <w:proofErr w:type="spellEnd"/>
      <w:r w:rsidRPr="00FA7B55">
        <w:rPr>
          <w:rFonts w:eastAsia="宋体" w:cs="Times New Roman"/>
          <w:b/>
          <w:bCs/>
        </w:rPr>
        <w:t xml:space="preserve">. </w:t>
      </w:r>
    </w:p>
    <w:p w14:paraId="7943EC05" w14:textId="16B77A50" w:rsidR="00461B41" w:rsidRPr="00465B8E" w:rsidRDefault="00FA7B55" w:rsidP="0024417C">
      <w:pPr>
        <w:widowControl/>
        <w:adjustRightInd w:val="0"/>
        <w:snapToGrid w:val="0"/>
        <w:spacing w:line="480" w:lineRule="auto"/>
        <w:ind w:firstLineChars="0" w:firstLine="0"/>
        <w:rPr>
          <w:rFonts w:cs="Times New Roman"/>
        </w:rPr>
      </w:pPr>
      <w:r>
        <w:rPr>
          <w:rFonts w:eastAsia="宋体" w:cs="Times New Roman" w:hint="eastAsia"/>
        </w:rPr>
        <w:t xml:space="preserve">Notes: </w:t>
      </w:r>
      <w:r w:rsidR="00461B41" w:rsidRPr="00461B41">
        <w:rPr>
          <w:rFonts w:eastAsia="宋体" w:cs="Times New Roman"/>
        </w:rPr>
        <w:t>Hexagons: metabolites; chemical reactions: grey rhombuses; squares: metabolic enzymes; circles: genes. The input metabolites and genes are respectively highlighted in red and blue.</w:t>
      </w:r>
    </w:p>
    <w:sectPr w:rsidR="00461B41" w:rsidRPr="00465B8E" w:rsidSect="008E47B9">
      <w:pgSz w:w="11906" w:h="16838" w:code="9"/>
      <w:pgMar w:top="1134" w:right="851" w:bottom="1134" w:left="851" w:header="283" w:footer="1134" w:gutter="0"/>
      <w:cols w:space="425"/>
      <w:docGrid w:type="lines" w:linePitch="36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FBFE0F" w14:textId="77777777" w:rsidR="0055793C" w:rsidRDefault="0055793C" w:rsidP="008E47B9">
      <w:pPr>
        <w:ind w:firstLine="420"/>
      </w:pPr>
      <w:r>
        <w:separator/>
      </w:r>
    </w:p>
  </w:endnote>
  <w:endnote w:type="continuationSeparator" w:id="0">
    <w:p w14:paraId="77A7602C" w14:textId="77777777" w:rsidR="0055793C" w:rsidRDefault="0055793C" w:rsidP="008E47B9">
      <w:pPr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">
    <w:altName w:val="微软雅黑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NimbusRomNo9L">
    <w:altName w:val="Calibri"/>
    <w:charset w:val="00"/>
    <w:family w:val="auto"/>
    <w:pitch w:val="variable"/>
    <w:sig w:usb0="00000287" w:usb1="00000000" w:usb2="00000000" w:usb3="00000000" w:csb0="0000009F" w:csb1="00000000"/>
  </w:font>
  <w:font w:name="等线 Light">
    <w:altName w:val="微软雅黑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仿宋">
    <w:altName w:val="微软雅黑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B2F167" w14:textId="77777777" w:rsidR="0055793C" w:rsidRDefault="0055793C" w:rsidP="008E47B9">
      <w:pPr>
        <w:ind w:firstLine="420"/>
      </w:pPr>
      <w:r>
        <w:separator/>
      </w:r>
    </w:p>
  </w:footnote>
  <w:footnote w:type="continuationSeparator" w:id="0">
    <w:p w14:paraId="37411A72" w14:textId="77777777" w:rsidR="0055793C" w:rsidRDefault="0055793C" w:rsidP="008E47B9">
      <w:pPr>
        <w:ind w:firstLine="42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B468F5"/>
    <w:multiLevelType w:val="hybridMultilevel"/>
    <w:tmpl w:val="658299A2"/>
    <w:lvl w:ilvl="0" w:tplc="CE24E69A">
      <w:start w:val="1"/>
      <w:numFmt w:val="bullet"/>
      <w:lvlRestart w:val="0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D661A69"/>
    <w:multiLevelType w:val="multilevel"/>
    <w:tmpl w:val="B7664590"/>
    <w:lvl w:ilvl="0">
      <w:start w:val="1"/>
      <w:numFmt w:val="decimal"/>
      <w:lvlRestart w:val="0"/>
      <w:suff w:val="space"/>
      <w:lvlText w:val="%1."/>
      <w:lvlJc w:val="left"/>
      <w:pPr>
        <w:ind w:left="432" w:hanging="432"/>
      </w:pPr>
    </w:lvl>
    <w:lvl w:ilvl="1">
      <w:start w:val="1"/>
      <w:numFmt w:val="decimal"/>
      <w:suff w:val="space"/>
      <w:lvlText w:val="%1.%2"/>
      <w:lvlJc w:val="left"/>
      <w:pPr>
        <w:ind w:left="576" w:hanging="576"/>
      </w:pPr>
    </w:lvl>
    <w:lvl w:ilvl="2">
      <w:start w:val="1"/>
      <w:numFmt w:val="decimal"/>
      <w:suff w:val="space"/>
      <w:lvlText w:val="%1.%2.%3"/>
      <w:lvlJc w:val="left"/>
      <w:pPr>
        <w:ind w:left="720" w:hanging="720"/>
      </w:pPr>
    </w:lvl>
    <w:lvl w:ilvl="3">
      <w:start w:val="1"/>
      <w:numFmt w:val="decimal"/>
      <w:suff w:val="space"/>
      <w:lvlText w:val="%1.%2.%3.%4"/>
      <w:lvlJc w:val="left"/>
      <w:pPr>
        <w:ind w:left="864" w:hanging="864"/>
      </w:pPr>
    </w:lvl>
    <w:lvl w:ilvl="4">
      <w:start w:val="1"/>
      <w:numFmt w:val="decimal"/>
      <w:suff w:val="space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7B2173DC"/>
    <w:multiLevelType w:val="hybridMultilevel"/>
    <w:tmpl w:val="184EDD5C"/>
    <w:lvl w:ilvl="0" w:tplc="6C4ADA66">
      <w:start w:val="1"/>
      <w:numFmt w:val="decimal"/>
      <w:lvlRestart w:val="0"/>
      <w:lvlText w:val="%1."/>
      <w:lvlJc w:val="left"/>
      <w:pPr>
        <w:ind w:left="425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3431941">
    <w:abstractNumId w:val="1"/>
  </w:num>
  <w:num w:numId="2" w16cid:durableId="932711087">
    <w:abstractNumId w:val="1"/>
  </w:num>
  <w:num w:numId="3" w16cid:durableId="745153544">
    <w:abstractNumId w:val="1"/>
  </w:num>
  <w:num w:numId="4" w16cid:durableId="2049836368">
    <w:abstractNumId w:val="1"/>
  </w:num>
  <w:num w:numId="5" w16cid:durableId="735470312">
    <w:abstractNumId w:val="1"/>
  </w:num>
  <w:num w:numId="6" w16cid:durableId="1460878203">
    <w:abstractNumId w:val="1"/>
  </w:num>
  <w:num w:numId="7" w16cid:durableId="1611401039">
    <w:abstractNumId w:val="1"/>
  </w:num>
  <w:num w:numId="8" w16cid:durableId="1160076850">
    <w:abstractNumId w:val="1"/>
  </w:num>
  <w:num w:numId="9" w16cid:durableId="410658375">
    <w:abstractNumId w:val="1"/>
  </w:num>
  <w:num w:numId="10" w16cid:durableId="14811959">
    <w:abstractNumId w:val="1"/>
  </w:num>
  <w:num w:numId="11" w16cid:durableId="2081171240">
    <w:abstractNumId w:val="1"/>
  </w:num>
  <w:num w:numId="12" w16cid:durableId="1375039706">
    <w:abstractNumId w:val="1"/>
  </w:num>
  <w:num w:numId="13" w16cid:durableId="1612587550">
    <w:abstractNumId w:val="0"/>
  </w:num>
  <w:num w:numId="14" w16cid:durableId="1865753561">
    <w:abstractNumId w:val="2"/>
  </w:num>
  <w:num w:numId="15" w16cid:durableId="6552993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31C1"/>
    <w:rsid w:val="00030033"/>
    <w:rsid w:val="000A6D6E"/>
    <w:rsid w:val="000E6911"/>
    <w:rsid w:val="00112531"/>
    <w:rsid w:val="001345E7"/>
    <w:rsid w:val="00140ED1"/>
    <w:rsid w:val="00167C51"/>
    <w:rsid w:val="001A4D85"/>
    <w:rsid w:val="001B4B87"/>
    <w:rsid w:val="001E3232"/>
    <w:rsid w:val="001F2F5C"/>
    <w:rsid w:val="00231AC2"/>
    <w:rsid w:val="0024417C"/>
    <w:rsid w:val="00246F16"/>
    <w:rsid w:val="002A2BA5"/>
    <w:rsid w:val="002F60D3"/>
    <w:rsid w:val="00415034"/>
    <w:rsid w:val="004560A0"/>
    <w:rsid w:val="00461B41"/>
    <w:rsid w:val="00461F8C"/>
    <w:rsid w:val="00465B8E"/>
    <w:rsid w:val="00485F6A"/>
    <w:rsid w:val="004F6250"/>
    <w:rsid w:val="00555628"/>
    <w:rsid w:val="0055793C"/>
    <w:rsid w:val="00571281"/>
    <w:rsid w:val="0057492B"/>
    <w:rsid w:val="005B2C4D"/>
    <w:rsid w:val="005C2315"/>
    <w:rsid w:val="005D6CAA"/>
    <w:rsid w:val="00621606"/>
    <w:rsid w:val="00631D4B"/>
    <w:rsid w:val="00632F72"/>
    <w:rsid w:val="0066128C"/>
    <w:rsid w:val="006B60BB"/>
    <w:rsid w:val="006F0A7C"/>
    <w:rsid w:val="00701096"/>
    <w:rsid w:val="00761F85"/>
    <w:rsid w:val="007863C5"/>
    <w:rsid w:val="007908E2"/>
    <w:rsid w:val="0080688F"/>
    <w:rsid w:val="00825ADE"/>
    <w:rsid w:val="00844879"/>
    <w:rsid w:val="008A6749"/>
    <w:rsid w:val="008D666B"/>
    <w:rsid w:val="008E47B9"/>
    <w:rsid w:val="00963F89"/>
    <w:rsid w:val="00964BA4"/>
    <w:rsid w:val="009829B9"/>
    <w:rsid w:val="009C6208"/>
    <w:rsid w:val="009D1E9F"/>
    <w:rsid w:val="009E5DCD"/>
    <w:rsid w:val="009E6C9D"/>
    <w:rsid w:val="009F31C1"/>
    <w:rsid w:val="00A17FD5"/>
    <w:rsid w:val="00A73E39"/>
    <w:rsid w:val="00A74568"/>
    <w:rsid w:val="00A825F9"/>
    <w:rsid w:val="00A84D9E"/>
    <w:rsid w:val="00AA5452"/>
    <w:rsid w:val="00AC6105"/>
    <w:rsid w:val="00B1546B"/>
    <w:rsid w:val="00B41233"/>
    <w:rsid w:val="00B63EDD"/>
    <w:rsid w:val="00B81A73"/>
    <w:rsid w:val="00BB1009"/>
    <w:rsid w:val="00BB55E5"/>
    <w:rsid w:val="00BC0709"/>
    <w:rsid w:val="00BE1980"/>
    <w:rsid w:val="00C41426"/>
    <w:rsid w:val="00C62243"/>
    <w:rsid w:val="00C92D0C"/>
    <w:rsid w:val="00CA73D7"/>
    <w:rsid w:val="00CD1158"/>
    <w:rsid w:val="00CF7E58"/>
    <w:rsid w:val="00DA30D7"/>
    <w:rsid w:val="00DB079C"/>
    <w:rsid w:val="00DB5C28"/>
    <w:rsid w:val="00E12072"/>
    <w:rsid w:val="00E46A66"/>
    <w:rsid w:val="00E758BF"/>
    <w:rsid w:val="00E857F4"/>
    <w:rsid w:val="00EA01CF"/>
    <w:rsid w:val="00EA1C49"/>
    <w:rsid w:val="00EE5A4A"/>
    <w:rsid w:val="00F005B1"/>
    <w:rsid w:val="00F110A9"/>
    <w:rsid w:val="00F2109E"/>
    <w:rsid w:val="00F34775"/>
    <w:rsid w:val="00F62C10"/>
    <w:rsid w:val="00FA7B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8A5E5E9"/>
  <w14:defaultImageDpi w14:val="330"/>
  <w15:chartTrackingRefBased/>
  <w15:docId w15:val="{109A6782-6C8E-4B31-B2F5-B15E254CB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EastAsia" w:hAnsi="Times New Roman" w:cstheme="minorBidi"/>
        <w:kern w:val="2"/>
        <w:sz w:val="21"/>
        <w:szCs w:val="21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iPriority="22" w:unhideWhenUsed="1"/>
    <w:lsdException w:name="page number" w:semiHidden="1" w:unhideWhenUsed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semiHidden="1" w:uiPriority="1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 w:qFormat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semiHidden/>
    <w:qFormat/>
    <w:rsid w:val="00AC6105"/>
    <w:pPr>
      <w:widowControl w:val="0"/>
      <w:ind w:firstLineChars="200" w:firstLine="200"/>
      <w:jc w:val="both"/>
    </w:pPr>
  </w:style>
  <w:style w:type="paragraph" w:styleId="Heading1">
    <w:name w:val="heading 1"/>
    <w:aliases w:val="Heading level 1"/>
    <w:basedOn w:val="Normal"/>
    <w:next w:val="Normal"/>
    <w:link w:val="Heading1Char"/>
    <w:uiPriority w:val="9"/>
    <w:qFormat/>
    <w:rsid w:val="008E47B9"/>
    <w:pPr>
      <w:keepNext/>
      <w:keepLines/>
      <w:widowControl/>
      <w:adjustRightInd w:val="0"/>
      <w:snapToGrid w:val="0"/>
      <w:spacing w:before="360" w:after="360"/>
      <w:ind w:firstLineChars="0" w:firstLine="0"/>
      <w:outlineLvl w:val="0"/>
    </w:pPr>
    <w:rPr>
      <w:rFonts w:eastAsia="Times New Roman" w:cs="Times New Roman"/>
      <w:b/>
      <w:bCs/>
      <w:noProof/>
      <w:color w:val="000000"/>
      <w:kern w:val="44"/>
      <w:sz w:val="24"/>
      <w:szCs w:val="24"/>
    </w:rPr>
  </w:style>
  <w:style w:type="paragraph" w:styleId="Heading2">
    <w:name w:val="heading 2"/>
    <w:aliases w:val="Heading level 2"/>
    <w:basedOn w:val="Normal"/>
    <w:next w:val="Normal"/>
    <w:link w:val="Heading2Char"/>
    <w:uiPriority w:val="9"/>
    <w:qFormat/>
    <w:rsid w:val="008E47B9"/>
    <w:pPr>
      <w:keepNext/>
      <w:keepLines/>
      <w:widowControl/>
      <w:adjustRightInd w:val="0"/>
      <w:snapToGrid w:val="0"/>
      <w:spacing w:before="240" w:after="240"/>
      <w:ind w:firstLineChars="0" w:firstLine="0"/>
      <w:outlineLvl w:val="1"/>
    </w:pPr>
    <w:rPr>
      <w:rFonts w:eastAsia="Times New Roman" w:cs="Times New Roman"/>
      <w:b/>
      <w:bCs/>
      <w:i/>
      <w:noProof/>
      <w:color w:val="000000"/>
      <w:kern w:val="0"/>
    </w:rPr>
  </w:style>
  <w:style w:type="paragraph" w:styleId="Heading3">
    <w:name w:val="heading 3"/>
    <w:aliases w:val="Heading level 3"/>
    <w:basedOn w:val="Normal"/>
    <w:next w:val="Normal"/>
    <w:link w:val="Heading3Char"/>
    <w:uiPriority w:val="9"/>
    <w:qFormat/>
    <w:rsid w:val="008E47B9"/>
    <w:pPr>
      <w:keepNext/>
      <w:keepLines/>
      <w:widowControl/>
      <w:adjustRightInd w:val="0"/>
      <w:snapToGrid w:val="0"/>
      <w:spacing w:before="160" w:after="160"/>
      <w:ind w:firstLineChars="0" w:firstLine="0"/>
      <w:outlineLvl w:val="2"/>
    </w:pPr>
    <w:rPr>
      <w:rFonts w:eastAsia="Times New Roman" w:cs="Times New Roman"/>
      <w:bCs/>
      <w:i/>
      <w:noProof/>
      <w:color w:val="000000"/>
      <w:kern w:val="0"/>
    </w:rPr>
  </w:style>
  <w:style w:type="paragraph" w:styleId="Heading4">
    <w:name w:val="heading 4"/>
    <w:basedOn w:val="Normal"/>
    <w:next w:val="Normal"/>
    <w:link w:val="Heading4Char"/>
    <w:uiPriority w:val="9"/>
    <w:semiHidden/>
    <w:qFormat/>
    <w:rsid w:val="00B81A73"/>
    <w:pPr>
      <w:keepNext/>
      <w:keepLines/>
      <w:spacing w:before="280" w:after="290" w:line="376" w:lineRule="auto"/>
      <w:ind w:firstLine="320"/>
      <w:outlineLvl w:val="3"/>
    </w:pPr>
    <w:rPr>
      <w:rFonts w:ascii="Calibri Light" w:eastAsia="NimbusRomNo9L" w:hAnsi="Calibri Light" w:cs="NimbusRomNo9L"/>
      <w:b/>
      <w:bCs/>
      <w:kern w:val="0"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qFormat/>
    <w:rsid w:val="0066128C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B81A73"/>
    <w:pPr>
      <w:keepNext/>
      <w:keepLines/>
      <w:numPr>
        <w:ilvl w:val="5"/>
        <w:numId w:val="12"/>
      </w:numPr>
      <w:spacing w:before="240" w:after="64" w:line="320" w:lineRule="auto"/>
      <w:ind w:firstLineChars="0" w:firstLine="0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B81A73"/>
    <w:pPr>
      <w:keepNext/>
      <w:keepLines/>
      <w:numPr>
        <w:ilvl w:val="6"/>
        <w:numId w:val="12"/>
      </w:numPr>
      <w:spacing w:before="240" w:after="64" w:line="320" w:lineRule="auto"/>
      <w:ind w:firstLineChars="0" w:firstLine="0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B81A73"/>
    <w:pPr>
      <w:keepNext/>
      <w:keepLines/>
      <w:numPr>
        <w:ilvl w:val="7"/>
        <w:numId w:val="12"/>
      </w:numPr>
      <w:spacing w:before="240" w:after="64" w:line="320" w:lineRule="auto"/>
      <w:ind w:firstLineChars="0" w:firstLine="0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81A73"/>
    <w:pPr>
      <w:keepNext/>
      <w:keepLines/>
      <w:numPr>
        <w:ilvl w:val="8"/>
        <w:numId w:val="12"/>
      </w:numPr>
      <w:spacing w:before="240" w:after="64" w:line="320" w:lineRule="auto"/>
      <w:ind w:firstLineChars="0" w:firstLine="0"/>
      <w:outlineLvl w:val="8"/>
    </w:pPr>
    <w:rPr>
      <w:rFonts w:asciiTheme="majorHAnsi" w:eastAsiaTheme="majorEastAsia" w:hAnsiTheme="majorHAnsi" w:cstheme="majorBid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eading level 1 Char"/>
    <w:basedOn w:val="DefaultParagraphFont"/>
    <w:link w:val="Heading1"/>
    <w:uiPriority w:val="9"/>
    <w:qFormat/>
    <w:rsid w:val="008E47B9"/>
    <w:rPr>
      <w:rFonts w:eastAsia="Times New Roman" w:cs="Times New Roman"/>
      <w:b/>
      <w:bCs/>
      <w:noProof/>
      <w:color w:val="000000"/>
      <w:kern w:val="44"/>
      <w:sz w:val="24"/>
      <w:szCs w:val="24"/>
    </w:rPr>
  </w:style>
  <w:style w:type="character" w:customStyle="1" w:styleId="Heading2Char">
    <w:name w:val="Heading 2 Char"/>
    <w:aliases w:val="Heading level 2 Char"/>
    <w:basedOn w:val="DefaultParagraphFont"/>
    <w:link w:val="Heading2"/>
    <w:uiPriority w:val="9"/>
    <w:qFormat/>
    <w:rsid w:val="008E47B9"/>
    <w:rPr>
      <w:rFonts w:eastAsia="Times New Roman" w:cs="Times New Roman"/>
      <w:b/>
      <w:bCs/>
      <w:i/>
      <w:noProof/>
      <w:color w:val="000000"/>
      <w:kern w:val="0"/>
    </w:rPr>
  </w:style>
  <w:style w:type="character" w:customStyle="1" w:styleId="Heading3Char">
    <w:name w:val="Heading 3 Char"/>
    <w:aliases w:val="Heading level 3 Char"/>
    <w:basedOn w:val="DefaultParagraphFont"/>
    <w:link w:val="Heading3"/>
    <w:uiPriority w:val="9"/>
    <w:qFormat/>
    <w:rsid w:val="008E47B9"/>
    <w:rPr>
      <w:rFonts w:eastAsia="Times New Roman" w:cs="Times New Roman"/>
      <w:bCs/>
      <w:i/>
      <w:noProof/>
      <w:color w:val="000000"/>
      <w:kern w:val="0"/>
    </w:rPr>
  </w:style>
  <w:style w:type="character" w:customStyle="1" w:styleId="Heading4Char">
    <w:name w:val="Heading 4 Char"/>
    <w:link w:val="Heading4"/>
    <w:uiPriority w:val="9"/>
    <w:semiHidden/>
    <w:rsid w:val="008E47B9"/>
    <w:rPr>
      <w:rFonts w:ascii="Calibri Light" w:eastAsia="NimbusRomNo9L" w:hAnsi="Calibri Light" w:cs="NimbusRomNo9L"/>
      <w:b/>
      <w:bCs/>
      <w:kern w:val="0"/>
      <w:sz w:val="28"/>
      <w:szCs w:val="28"/>
    </w:rPr>
  </w:style>
  <w:style w:type="character" w:customStyle="1" w:styleId="Heading5Char">
    <w:name w:val="Heading 5 Char"/>
    <w:link w:val="Heading5"/>
    <w:uiPriority w:val="9"/>
    <w:semiHidden/>
    <w:rsid w:val="008E47B9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E47B9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E47B9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E47B9"/>
    <w:rPr>
      <w:rFonts w:asciiTheme="majorHAnsi" w:eastAsiaTheme="majorEastAsia" w:hAnsiTheme="majorHAnsi" w:cstheme="majorBidi"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81A73"/>
    <w:rPr>
      <w:rFonts w:asciiTheme="majorHAnsi" w:eastAsiaTheme="majorEastAsia" w:hAnsiTheme="majorHAnsi" w:cstheme="majorBidi"/>
      <w:szCs w:val="21"/>
    </w:rPr>
  </w:style>
  <w:style w:type="paragraph" w:customStyle="1" w:styleId="Abstract">
    <w:name w:val="Abstract"/>
    <w:next w:val="Normal"/>
    <w:uiPriority w:val="99"/>
    <w:qFormat/>
    <w:rsid w:val="008E47B9"/>
    <w:pPr>
      <w:jc w:val="both"/>
    </w:pPr>
    <w:rPr>
      <w:rFonts w:eastAsia="Times New Roman" w:cs="Times New Roman"/>
      <w:color w:val="000000"/>
      <w:kern w:val="0"/>
      <w:lang w:eastAsia="de-DE" w:bidi="en-US"/>
    </w:rPr>
  </w:style>
  <w:style w:type="paragraph" w:customStyle="1" w:styleId="Academiceditor">
    <w:name w:val="Academic editor"/>
    <w:uiPriority w:val="4"/>
    <w:qFormat/>
    <w:rsid w:val="008E47B9"/>
    <w:pPr>
      <w:jc w:val="both"/>
    </w:pPr>
    <w:rPr>
      <w:rFonts w:eastAsia="Times New Roman" w:cs="Times New Roman"/>
      <w:color w:val="000000"/>
      <w:kern w:val="0"/>
      <w:lang w:eastAsia="de-DE" w:bidi="en-US"/>
    </w:rPr>
  </w:style>
  <w:style w:type="paragraph" w:customStyle="1" w:styleId="Affiliation">
    <w:name w:val="Affiliation"/>
    <w:uiPriority w:val="3"/>
    <w:qFormat/>
    <w:rsid w:val="008E47B9"/>
    <w:pPr>
      <w:jc w:val="both"/>
    </w:pPr>
    <w:rPr>
      <w:rFonts w:eastAsia="Times New Roman" w:cs="Times New Roman"/>
      <w:color w:val="000000"/>
      <w:kern w:val="0"/>
      <w:lang w:eastAsia="de-DE" w:bidi="en-US"/>
    </w:rPr>
  </w:style>
  <w:style w:type="paragraph" w:customStyle="1" w:styleId="Articletitle">
    <w:name w:val="Article title"/>
    <w:next w:val="Normal"/>
    <w:uiPriority w:val="1"/>
    <w:qFormat/>
    <w:rsid w:val="008E47B9"/>
    <w:pPr>
      <w:adjustRightInd w:val="0"/>
      <w:snapToGrid w:val="0"/>
      <w:jc w:val="both"/>
    </w:pPr>
    <w:rPr>
      <w:rFonts w:eastAsia="Times New Roman" w:cs="Times New Roman"/>
      <w:b/>
      <w:snapToGrid w:val="0"/>
      <w:color w:val="000000"/>
      <w:kern w:val="0"/>
      <w:sz w:val="36"/>
      <w:szCs w:val="20"/>
      <w:lang w:eastAsia="de-DE" w:bidi="en-US"/>
    </w:rPr>
  </w:style>
  <w:style w:type="paragraph" w:customStyle="1" w:styleId="Articletype">
    <w:name w:val="Article type"/>
    <w:next w:val="Normal"/>
    <w:qFormat/>
    <w:rsid w:val="008E47B9"/>
    <w:pPr>
      <w:adjustRightInd w:val="0"/>
      <w:snapToGrid w:val="0"/>
    </w:pPr>
    <w:rPr>
      <w:rFonts w:eastAsia="Times New Roman" w:cs="Times New Roman"/>
      <w:i/>
      <w:snapToGrid w:val="0"/>
      <w:color w:val="000000"/>
      <w:kern w:val="0"/>
      <w:sz w:val="20"/>
      <w:szCs w:val="22"/>
      <w:lang w:eastAsia="de-DE" w:bidi="en-US"/>
    </w:rPr>
  </w:style>
  <w:style w:type="paragraph" w:customStyle="1" w:styleId="Authornames">
    <w:name w:val="Authornames"/>
    <w:next w:val="Normal"/>
    <w:uiPriority w:val="2"/>
    <w:qFormat/>
    <w:rsid w:val="008E47B9"/>
    <w:pPr>
      <w:jc w:val="both"/>
    </w:pPr>
    <w:rPr>
      <w:rFonts w:eastAsia="Times New Roman" w:cs="Times New Roman"/>
      <w:color w:val="000000"/>
      <w:kern w:val="0"/>
      <w:lang w:eastAsia="de-DE" w:bidi="en-US"/>
    </w:rPr>
  </w:style>
  <w:style w:type="paragraph" w:customStyle="1" w:styleId="Backmatter">
    <w:name w:val="Back matter"/>
    <w:uiPriority w:val="18"/>
    <w:qFormat/>
    <w:rsid w:val="008E47B9"/>
    <w:pPr>
      <w:adjustRightInd w:val="0"/>
      <w:snapToGrid w:val="0"/>
      <w:spacing w:beforeLines="50" w:before="50" w:afterLines="50" w:after="50"/>
      <w:jc w:val="both"/>
    </w:pPr>
    <w:rPr>
      <w:rFonts w:eastAsia="Times New Roman" w:cs="Times New Roman"/>
      <w:b/>
      <w:snapToGrid w:val="0"/>
      <w:color w:val="000000"/>
      <w:kern w:val="0"/>
      <w:sz w:val="24"/>
      <w:szCs w:val="24"/>
      <w:lang w:eastAsia="en-US" w:bidi="en-US"/>
    </w:rPr>
  </w:style>
  <w:style w:type="paragraph" w:customStyle="1" w:styleId="Bullet">
    <w:name w:val="Bullet"/>
    <w:uiPriority w:val="16"/>
    <w:qFormat/>
    <w:rsid w:val="008E47B9"/>
    <w:pPr>
      <w:adjustRightInd w:val="0"/>
      <w:snapToGrid w:val="0"/>
      <w:spacing w:before="40" w:after="40"/>
      <w:ind w:left="3033" w:hangingChars="200" w:hanging="200"/>
      <w:jc w:val="both"/>
    </w:pPr>
    <w:rPr>
      <w:rFonts w:eastAsia="Times New Roman" w:cs="Times New Roman"/>
      <w:color w:val="000000"/>
      <w:kern w:val="0"/>
      <w:lang w:eastAsia="de-DE" w:bidi="en-US"/>
    </w:rPr>
  </w:style>
  <w:style w:type="paragraph" w:customStyle="1" w:styleId="E-mail">
    <w:name w:val="E-mail"/>
    <w:link w:val="E-mail0"/>
    <w:uiPriority w:val="4"/>
    <w:qFormat/>
    <w:rsid w:val="008E47B9"/>
    <w:rPr>
      <w:rFonts w:eastAsia="Times New Roman" w:cs="Times New Roman"/>
      <w:snapToGrid w:val="0"/>
      <w:color w:val="000000"/>
      <w:kern w:val="0"/>
      <w:lang w:eastAsia="de-DE" w:bidi="en-US"/>
    </w:rPr>
  </w:style>
  <w:style w:type="character" w:customStyle="1" w:styleId="E-mail0">
    <w:name w:val="E-mail 字符"/>
    <w:basedOn w:val="DefaultParagraphFont"/>
    <w:link w:val="E-mail"/>
    <w:uiPriority w:val="4"/>
    <w:rsid w:val="008E47B9"/>
    <w:rPr>
      <w:rFonts w:eastAsia="Times New Roman" w:cs="Times New Roman"/>
      <w:snapToGrid w:val="0"/>
      <w:color w:val="000000"/>
      <w:kern w:val="0"/>
      <w:lang w:eastAsia="de-DE" w:bidi="en-US"/>
    </w:rPr>
  </w:style>
  <w:style w:type="paragraph" w:customStyle="1" w:styleId="Equation">
    <w:name w:val="Equation"/>
    <w:uiPriority w:val="17"/>
    <w:qFormat/>
    <w:rsid w:val="008E47B9"/>
    <w:pPr>
      <w:adjustRightInd w:val="0"/>
      <w:snapToGrid w:val="0"/>
      <w:spacing w:before="60" w:after="60"/>
      <w:ind w:left="709"/>
      <w:jc w:val="center"/>
    </w:pPr>
    <w:rPr>
      <w:rFonts w:eastAsia="Times New Roman" w:cs="Times New Roman"/>
      <w:snapToGrid w:val="0"/>
      <w:color w:val="000000"/>
      <w:kern w:val="0"/>
      <w:lang w:eastAsia="de-DE" w:bidi="en-US"/>
    </w:rPr>
  </w:style>
  <w:style w:type="paragraph" w:customStyle="1" w:styleId="Figure">
    <w:name w:val="Figure"/>
    <w:uiPriority w:val="15"/>
    <w:qFormat/>
    <w:rsid w:val="008E47B9"/>
    <w:pPr>
      <w:adjustRightInd w:val="0"/>
      <w:snapToGrid w:val="0"/>
      <w:jc w:val="center"/>
    </w:pPr>
    <w:rPr>
      <w:rFonts w:eastAsia="Times New Roman" w:cs="Times New Roman"/>
      <w:snapToGrid w:val="0"/>
      <w:color w:val="000000"/>
      <w:kern w:val="0"/>
      <w:lang w:eastAsia="de-DE" w:bidi="en-US"/>
    </w:rPr>
  </w:style>
  <w:style w:type="paragraph" w:customStyle="1" w:styleId="Figurecaption">
    <w:name w:val="Figure caption"/>
    <w:uiPriority w:val="14"/>
    <w:qFormat/>
    <w:rsid w:val="008E47B9"/>
    <w:pPr>
      <w:jc w:val="both"/>
    </w:pPr>
    <w:rPr>
      <w:rFonts w:eastAsia="Times New Roman" w:cs="Times New Roman"/>
      <w:color w:val="000000"/>
      <w:kern w:val="0"/>
      <w:lang w:eastAsia="de-DE" w:bidi="en-US"/>
    </w:rPr>
  </w:style>
  <w:style w:type="paragraph" w:customStyle="1" w:styleId="Figuretitle">
    <w:name w:val="Figure title"/>
    <w:uiPriority w:val="13"/>
    <w:rsid w:val="008E47B9"/>
    <w:pPr>
      <w:adjustRightInd w:val="0"/>
      <w:snapToGrid w:val="0"/>
      <w:spacing w:after="100" w:afterAutospacing="1"/>
      <w:jc w:val="center"/>
    </w:pPr>
    <w:rPr>
      <w:rFonts w:eastAsia="Times New Roman" w:cs="Times New Roman"/>
      <w:b/>
      <w:noProof/>
      <w:color w:val="000000"/>
      <w:kern w:val="0"/>
      <w:lang w:bidi="en-US"/>
    </w:rPr>
  </w:style>
  <w:style w:type="paragraph" w:customStyle="1" w:styleId="Keywords">
    <w:name w:val="Keywords"/>
    <w:next w:val="Normal"/>
    <w:link w:val="Keywords0"/>
    <w:uiPriority w:val="6"/>
    <w:qFormat/>
    <w:rsid w:val="008E47B9"/>
    <w:pPr>
      <w:adjustRightInd w:val="0"/>
      <w:snapToGrid w:val="0"/>
      <w:jc w:val="both"/>
    </w:pPr>
    <w:rPr>
      <w:rFonts w:eastAsia="Times New Roman" w:cs="Times New Roman"/>
      <w:snapToGrid w:val="0"/>
      <w:color w:val="000000"/>
      <w:kern w:val="0"/>
      <w:lang w:eastAsia="de-DE" w:bidi="en-US"/>
    </w:rPr>
  </w:style>
  <w:style w:type="character" w:customStyle="1" w:styleId="Keywords0">
    <w:name w:val="Keywords 字符"/>
    <w:basedOn w:val="DefaultParagraphFont"/>
    <w:link w:val="Keywords"/>
    <w:uiPriority w:val="6"/>
    <w:rsid w:val="008E47B9"/>
    <w:rPr>
      <w:rFonts w:eastAsia="Times New Roman" w:cs="Times New Roman"/>
      <w:snapToGrid w:val="0"/>
      <w:color w:val="000000"/>
      <w:kern w:val="0"/>
      <w:lang w:eastAsia="de-DE" w:bidi="en-US"/>
    </w:rPr>
  </w:style>
  <w:style w:type="paragraph" w:customStyle="1" w:styleId="Reference">
    <w:name w:val="Reference"/>
    <w:link w:val="Reference0"/>
    <w:uiPriority w:val="19"/>
    <w:qFormat/>
    <w:rsid w:val="008E47B9"/>
    <w:pPr>
      <w:ind w:left="200" w:hangingChars="200" w:hanging="200"/>
      <w:jc w:val="both"/>
    </w:pPr>
    <w:rPr>
      <w:rFonts w:eastAsia="Times New Roman" w:cs="Times New Roman"/>
      <w:snapToGrid w:val="0"/>
      <w:color w:val="000000"/>
      <w:kern w:val="0"/>
      <w:sz w:val="18"/>
      <w:lang w:eastAsia="de-DE" w:bidi="en-US"/>
    </w:rPr>
  </w:style>
  <w:style w:type="character" w:customStyle="1" w:styleId="Reference0">
    <w:name w:val="Reference 字符"/>
    <w:basedOn w:val="Keywords0"/>
    <w:link w:val="Reference"/>
    <w:uiPriority w:val="19"/>
    <w:rsid w:val="008E47B9"/>
    <w:rPr>
      <w:rFonts w:eastAsia="Times New Roman" w:cs="Times New Roman"/>
      <w:snapToGrid w:val="0"/>
      <w:color w:val="000000"/>
      <w:kern w:val="0"/>
      <w:sz w:val="18"/>
      <w:lang w:eastAsia="de-DE" w:bidi="en-US"/>
    </w:rPr>
  </w:style>
  <w:style w:type="paragraph" w:customStyle="1" w:styleId="Tablebody">
    <w:name w:val="Table body"/>
    <w:uiPriority w:val="11"/>
    <w:qFormat/>
    <w:rsid w:val="008E47B9"/>
    <w:pPr>
      <w:jc w:val="both"/>
    </w:pPr>
    <w:rPr>
      <w:rFonts w:eastAsia="Times New Roman" w:cs="Times New Roman"/>
      <w:snapToGrid w:val="0"/>
      <w:color w:val="000000"/>
      <w:kern w:val="0"/>
      <w:lang w:eastAsia="de-DE" w:bidi="en-US"/>
    </w:rPr>
  </w:style>
  <w:style w:type="paragraph" w:customStyle="1" w:styleId="Tablecaption">
    <w:name w:val="Table caption"/>
    <w:uiPriority w:val="11"/>
    <w:qFormat/>
    <w:rsid w:val="008E47B9"/>
    <w:pPr>
      <w:adjustRightInd w:val="0"/>
      <w:snapToGrid w:val="0"/>
      <w:spacing w:beforeLines="100" w:before="100" w:afterLines="100" w:after="100"/>
      <w:jc w:val="center"/>
    </w:pPr>
    <w:rPr>
      <w:rFonts w:eastAsia="Times New Roman" w:cs="Times New Roman"/>
      <w:b/>
      <w:noProof/>
      <w:color w:val="000000"/>
      <w:kern w:val="0"/>
      <w:szCs w:val="24"/>
      <w:lang w:bidi="en-US"/>
    </w:rPr>
  </w:style>
  <w:style w:type="paragraph" w:customStyle="1" w:styleId="Tablefooter">
    <w:name w:val="Table footer"/>
    <w:next w:val="Normal"/>
    <w:uiPriority w:val="12"/>
    <w:qFormat/>
    <w:rsid w:val="008E47B9"/>
    <w:pPr>
      <w:jc w:val="both"/>
    </w:pPr>
    <w:rPr>
      <w:rFonts w:eastAsia="Times New Roman" w:cs="Times New Roman"/>
      <w:color w:val="000000"/>
      <w:kern w:val="0"/>
      <w:lang w:eastAsia="de-DE" w:bidi="en-US"/>
    </w:rPr>
  </w:style>
  <w:style w:type="paragraph" w:customStyle="1" w:styleId="Text">
    <w:name w:val="Text"/>
    <w:link w:val="Text0"/>
    <w:uiPriority w:val="10"/>
    <w:qFormat/>
    <w:rsid w:val="008E47B9"/>
    <w:pPr>
      <w:ind w:firstLineChars="200" w:firstLine="200"/>
      <w:jc w:val="both"/>
    </w:pPr>
    <w:rPr>
      <w:rFonts w:eastAsia="Times New Roman" w:cs="Times New Roman"/>
      <w:snapToGrid w:val="0"/>
      <w:color w:val="000000"/>
      <w:kern w:val="0"/>
      <w:szCs w:val="28"/>
      <w:lang w:eastAsia="de-DE" w:bidi="en-US"/>
    </w:rPr>
  </w:style>
  <w:style w:type="character" w:customStyle="1" w:styleId="Text0">
    <w:name w:val="Text 字符"/>
    <w:basedOn w:val="DefaultParagraphFont"/>
    <w:link w:val="Text"/>
    <w:uiPriority w:val="10"/>
    <w:rsid w:val="008E47B9"/>
    <w:rPr>
      <w:rFonts w:eastAsia="Times New Roman" w:cs="Times New Roman"/>
      <w:snapToGrid w:val="0"/>
      <w:color w:val="000000"/>
      <w:kern w:val="0"/>
      <w:szCs w:val="28"/>
      <w:lang w:eastAsia="de-DE" w:bidi="en-US"/>
    </w:rPr>
  </w:style>
  <w:style w:type="character" w:styleId="LineNumber">
    <w:name w:val="line number"/>
    <w:aliases w:val="IMR-Line numbers"/>
    <w:uiPriority w:val="22"/>
    <w:semiHidden/>
    <w:rsid w:val="005C2315"/>
    <w:rPr>
      <w:rFonts w:ascii="Times New Roman" w:eastAsia="Times New Roman" w:hAnsi="Times New Roman" w:cs="Times New Roman"/>
      <w:sz w:val="18"/>
      <w:szCs w:val="18"/>
    </w:rPr>
  </w:style>
  <w:style w:type="paragraph" w:styleId="Header">
    <w:name w:val="header"/>
    <w:basedOn w:val="Normal"/>
    <w:link w:val="HeaderChar"/>
    <w:uiPriority w:val="99"/>
    <w:semiHidden/>
    <w:qFormat/>
    <w:rsid w:val="008E47B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semiHidden/>
    <w:qFormat/>
    <w:rsid w:val="008E47B9"/>
    <w:rPr>
      <w:rFonts w:ascii="Times New Roman" w:eastAsia="Times New Roman" w:hAnsi="Times New Roman" w:cs="Times New Roman"/>
      <w:sz w:val="18"/>
      <w:szCs w:val="18"/>
    </w:rPr>
  </w:style>
  <w:style w:type="paragraph" w:styleId="Footer">
    <w:name w:val="footer"/>
    <w:basedOn w:val="Normal"/>
    <w:link w:val="FooterChar"/>
    <w:uiPriority w:val="99"/>
    <w:semiHidden/>
    <w:qFormat/>
    <w:rsid w:val="008E47B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semiHidden/>
    <w:qFormat/>
    <w:rsid w:val="008E47B9"/>
    <w:rPr>
      <w:rFonts w:ascii="Times New Roman" w:eastAsia="Times New Roman" w:hAnsi="Times New Roman" w:cs="Times New Roman"/>
      <w:sz w:val="18"/>
      <w:szCs w:val="18"/>
    </w:rPr>
  </w:style>
  <w:style w:type="character" w:styleId="Hyperlink">
    <w:name w:val="Hyperlink"/>
    <w:uiPriority w:val="99"/>
    <w:semiHidden/>
    <w:qFormat/>
    <w:rsid w:val="008E47B9"/>
    <w:rPr>
      <w:color w:val="0000FF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qFormat/>
    <w:rsid w:val="00761F85"/>
    <w:rPr>
      <w:sz w:val="21"/>
      <w:szCs w:val="21"/>
    </w:rPr>
  </w:style>
  <w:style w:type="paragraph" w:styleId="CommentText">
    <w:name w:val="annotation text"/>
    <w:basedOn w:val="Normal"/>
    <w:link w:val="CommentTextChar"/>
    <w:uiPriority w:val="99"/>
    <w:semiHidden/>
    <w:unhideWhenUsed/>
    <w:qFormat/>
    <w:rsid w:val="00761F85"/>
    <w:pPr>
      <w:jc w:val="left"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qFormat/>
    <w:rsid w:val="00761F85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qFormat/>
    <w:rsid w:val="00761F8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61F85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761F8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761F85"/>
    <w:rPr>
      <w:sz w:val="18"/>
      <w:szCs w:val="18"/>
    </w:rPr>
  </w:style>
  <w:style w:type="paragraph" w:styleId="NormalWeb">
    <w:name w:val="Normal (Web)"/>
    <w:basedOn w:val="Normal"/>
    <w:uiPriority w:val="99"/>
    <w:semiHidden/>
    <w:qFormat/>
    <w:rsid w:val="00963F89"/>
    <w:pPr>
      <w:widowControl/>
      <w:spacing w:before="100" w:beforeAutospacing="1" w:after="100" w:afterAutospacing="1"/>
      <w:ind w:firstLineChars="0" w:firstLine="0"/>
      <w:jc w:val="left"/>
    </w:pPr>
    <w:rPr>
      <w:rFonts w:ascii="宋体" w:eastAsia="宋体" w:hAnsi="宋体" w:cs="宋体"/>
      <w:kern w:val="0"/>
      <w:sz w:val="24"/>
      <w:szCs w:val="24"/>
    </w:rPr>
  </w:style>
  <w:style w:type="table" w:styleId="TableGrid">
    <w:name w:val="Table Grid"/>
    <w:basedOn w:val="TableNormal"/>
    <w:uiPriority w:val="59"/>
    <w:qFormat/>
    <w:rsid w:val="004560A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semiHidden/>
    <w:rsid w:val="00CF7E58"/>
    <w:pPr>
      <w:widowControl/>
      <w:spacing w:before="100" w:beforeAutospacing="1" w:after="100" w:afterAutospacing="1"/>
      <w:ind w:firstLineChars="0" w:firstLine="0"/>
      <w:jc w:val="left"/>
    </w:pPr>
    <w:rPr>
      <w:rFonts w:ascii="DengXian" w:eastAsia="DengXian" w:hAnsi="DengXian" w:cs="Times New Roman"/>
      <w:kern w:val="0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qFormat/>
    <w:rsid w:val="00CF7E58"/>
    <w:rPr>
      <w:color w:val="954F72" w:themeColor="followedHyperlink"/>
      <w:u w:val="single"/>
    </w:rPr>
  </w:style>
  <w:style w:type="numbering" w:customStyle="1" w:styleId="NoList1">
    <w:name w:val="No List1"/>
    <w:next w:val="NoList"/>
    <w:uiPriority w:val="99"/>
    <w:semiHidden/>
    <w:unhideWhenUsed/>
    <w:rsid w:val="00461B41"/>
  </w:style>
  <w:style w:type="paragraph" w:customStyle="1" w:styleId="msonormal0">
    <w:name w:val="msonormal"/>
    <w:basedOn w:val="Normal"/>
    <w:autoRedefine/>
    <w:uiPriority w:val="99"/>
    <w:semiHidden/>
    <w:qFormat/>
    <w:rsid w:val="00461B41"/>
    <w:pPr>
      <w:widowControl/>
      <w:spacing w:before="100" w:beforeAutospacing="1" w:after="100" w:afterAutospacing="1"/>
      <w:ind w:firstLineChars="0" w:firstLine="0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FootnoteText">
    <w:name w:val="footnote text"/>
    <w:basedOn w:val="Normal"/>
    <w:link w:val="FootnoteTextChar"/>
    <w:autoRedefine/>
    <w:uiPriority w:val="99"/>
    <w:semiHidden/>
    <w:unhideWhenUsed/>
    <w:qFormat/>
    <w:rsid w:val="00461B41"/>
    <w:pPr>
      <w:snapToGrid w:val="0"/>
      <w:ind w:firstLineChars="0" w:firstLine="0"/>
      <w:jc w:val="left"/>
    </w:pPr>
    <w:rPr>
      <w:rFonts w:ascii="Calibri" w:eastAsia="宋体" w:hAnsi="Calibri" w:cs="Arial"/>
      <w:sz w:val="18"/>
      <w:szCs w:val="18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qFormat/>
    <w:rsid w:val="00461B41"/>
    <w:rPr>
      <w:rFonts w:ascii="Calibri" w:eastAsia="宋体" w:hAnsi="Calibri" w:cs="Arial"/>
      <w:sz w:val="18"/>
      <w:szCs w:val="18"/>
    </w:rPr>
  </w:style>
  <w:style w:type="paragraph" w:styleId="EndnoteText">
    <w:name w:val="endnote text"/>
    <w:basedOn w:val="Normal"/>
    <w:link w:val="EndnoteTextChar"/>
    <w:autoRedefine/>
    <w:uiPriority w:val="99"/>
    <w:semiHidden/>
    <w:unhideWhenUsed/>
    <w:qFormat/>
    <w:rsid w:val="00461B41"/>
    <w:pPr>
      <w:snapToGrid w:val="0"/>
      <w:ind w:firstLineChars="0" w:firstLine="0"/>
      <w:jc w:val="left"/>
    </w:pPr>
    <w:rPr>
      <w:rFonts w:ascii="Calibri" w:eastAsia="宋体" w:hAnsi="Calibri" w:cs="Arial"/>
      <w:szCs w:val="22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qFormat/>
    <w:rsid w:val="00461B41"/>
    <w:rPr>
      <w:rFonts w:ascii="Calibri" w:eastAsia="宋体" w:hAnsi="Calibri" w:cs="Arial"/>
      <w:szCs w:val="22"/>
    </w:rPr>
  </w:style>
  <w:style w:type="paragraph" w:styleId="BodyText">
    <w:name w:val="Body Text"/>
    <w:basedOn w:val="Normal"/>
    <w:link w:val="BodyTextChar"/>
    <w:autoRedefine/>
    <w:uiPriority w:val="99"/>
    <w:semiHidden/>
    <w:unhideWhenUsed/>
    <w:qFormat/>
    <w:rsid w:val="00461B41"/>
    <w:pPr>
      <w:spacing w:after="120"/>
      <w:ind w:firstLineChars="0" w:firstLine="0"/>
    </w:pPr>
    <w:rPr>
      <w:rFonts w:ascii="Calibri" w:eastAsia="宋体" w:hAnsi="Calibri" w:cs="Arial"/>
      <w:szCs w:val="22"/>
    </w:rPr>
  </w:style>
  <w:style w:type="character" w:customStyle="1" w:styleId="BodyTextChar">
    <w:name w:val="Body Text Char"/>
    <w:basedOn w:val="DefaultParagraphFont"/>
    <w:link w:val="BodyText"/>
    <w:uiPriority w:val="99"/>
    <w:semiHidden/>
    <w:qFormat/>
    <w:rsid w:val="00461B41"/>
    <w:rPr>
      <w:rFonts w:ascii="Calibri" w:eastAsia="宋体" w:hAnsi="Calibri" w:cs="Arial"/>
      <w:szCs w:val="22"/>
    </w:rPr>
  </w:style>
  <w:style w:type="paragraph" w:styleId="Revision">
    <w:name w:val="Revision"/>
    <w:autoRedefine/>
    <w:uiPriority w:val="99"/>
    <w:semiHidden/>
    <w:qFormat/>
    <w:rsid w:val="00461B41"/>
    <w:rPr>
      <w:rFonts w:ascii="Calibri" w:eastAsia="宋体" w:hAnsi="Calibri" w:cs="Arial"/>
      <w:szCs w:val="22"/>
    </w:rPr>
  </w:style>
  <w:style w:type="paragraph" w:styleId="ListParagraph">
    <w:name w:val="List Paragraph"/>
    <w:basedOn w:val="Normal"/>
    <w:autoRedefine/>
    <w:uiPriority w:val="1"/>
    <w:qFormat/>
    <w:rsid w:val="00461B41"/>
    <w:pPr>
      <w:autoSpaceDE w:val="0"/>
      <w:autoSpaceDN w:val="0"/>
      <w:ind w:left="532" w:firstLineChars="0" w:hanging="313"/>
      <w:jc w:val="left"/>
    </w:pPr>
    <w:rPr>
      <w:rFonts w:ascii="Calibri" w:eastAsia="Calibri" w:hAnsi="Calibri" w:cs="Calibri"/>
      <w:kern w:val="0"/>
      <w:sz w:val="22"/>
      <w:szCs w:val="22"/>
    </w:rPr>
  </w:style>
  <w:style w:type="paragraph" w:styleId="Bibliography">
    <w:name w:val="Bibliography"/>
    <w:basedOn w:val="Normal"/>
    <w:next w:val="Normal"/>
    <w:autoRedefine/>
    <w:uiPriority w:val="37"/>
    <w:semiHidden/>
    <w:unhideWhenUsed/>
    <w:qFormat/>
    <w:rsid w:val="00461B41"/>
    <w:pPr>
      <w:ind w:firstLineChars="0" w:firstLine="0"/>
    </w:pPr>
    <w:rPr>
      <w:rFonts w:ascii="Calibri" w:eastAsia="宋体" w:hAnsi="Calibri" w:cs="Arial"/>
      <w:szCs w:val="22"/>
    </w:rPr>
  </w:style>
  <w:style w:type="character" w:customStyle="1" w:styleId="a">
    <w:name w:val="机构信息 字符"/>
    <w:link w:val="a0"/>
    <w:autoRedefine/>
    <w:semiHidden/>
    <w:qFormat/>
    <w:locked/>
    <w:rsid w:val="00461B41"/>
    <w:rPr>
      <w:rFonts w:eastAsia="Times New Roman" w:cs="Times New Roman"/>
    </w:rPr>
  </w:style>
  <w:style w:type="paragraph" w:customStyle="1" w:styleId="a0">
    <w:name w:val="机构信息"/>
    <w:basedOn w:val="Normal"/>
    <w:link w:val="a"/>
    <w:autoRedefine/>
    <w:semiHidden/>
    <w:qFormat/>
    <w:rsid w:val="00461B41"/>
    <w:pPr>
      <w:ind w:firstLineChars="0" w:firstLine="0"/>
    </w:pPr>
    <w:rPr>
      <w:rFonts w:eastAsia="Times New Roman" w:cs="Times New Roman"/>
    </w:rPr>
  </w:style>
  <w:style w:type="paragraph" w:customStyle="1" w:styleId="msolistparagraph0">
    <w:name w:val="msolistparagraph"/>
    <w:basedOn w:val="Normal"/>
    <w:autoRedefine/>
    <w:uiPriority w:val="99"/>
    <w:semiHidden/>
    <w:qFormat/>
    <w:rsid w:val="00461B41"/>
    <w:pPr>
      <w:spacing w:line="400" w:lineRule="exact"/>
      <w:ind w:firstLine="420"/>
    </w:pPr>
    <w:rPr>
      <w:rFonts w:ascii="Calibri" w:eastAsia="宋体" w:hAnsi="Calibri" w:cs="Times New Roman"/>
    </w:rPr>
  </w:style>
  <w:style w:type="paragraph" w:customStyle="1" w:styleId="msolistparagraph1">
    <w:name w:val="msolistparagraph1"/>
    <w:basedOn w:val="Normal"/>
    <w:autoRedefine/>
    <w:uiPriority w:val="99"/>
    <w:semiHidden/>
    <w:qFormat/>
    <w:rsid w:val="00461B41"/>
    <w:pPr>
      <w:ind w:firstLine="420"/>
    </w:pPr>
    <w:rPr>
      <w:rFonts w:ascii="Calibri" w:eastAsia="宋体" w:hAnsi="Calibri" w:cs="Times New Roman"/>
    </w:rPr>
  </w:style>
  <w:style w:type="character" w:customStyle="1" w:styleId="a1">
    <w:name w:val="致谢部分 字符"/>
    <w:link w:val="a2"/>
    <w:autoRedefine/>
    <w:semiHidden/>
    <w:qFormat/>
    <w:locked/>
    <w:rsid w:val="00461B41"/>
    <w:rPr>
      <w:rFonts w:eastAsia="Times New Roman" w:cs="Times New Roman"/>
      <w:b/>
      <w:sz w:val="24"/>
      <w:szCs w:val="24"/>
    </w:rPr>
  </w:style>
  <w:style w:type="paragraph" w:customStyle="1" w:styleId="a2">
    <w:name w:val="致谢部分"/>
    <w:basedOn w:val="BodyText"/>
    <w:link w:val="a1"/>
    <w:autoRedefine/>
    <w:semiHidden/>
    <w:qFormat/>
    <w:rsid w:val="00461B41"/>
    <w:pPr>
      <w:autoSpaceDE w:val="0"/>
      <w:autoSpaceDN w:val="0"/>
      <w:adjustRightInd w:val="0"/>
      <w:snapToGrid w:val="0"/>
      <w:spacing w:after="0"/>
    </w:pPr>
    <w:rPr>
      <w:rFonts w:ascii="Times New Roman" w:eastAsia="Times New Roman" w:hAnsi="Times New Roman" w:cs="Times New Roman"/>
      <w:b/>
      <w:sz w:val="24"/>
      <w:szCs w:val="24"/>
    </w:rPr>
  </w:style>
  <w:style w:type="paragraph" w:customStyle="1" w:styleId="1">
    <w:name w:val="书目1"/>
    <w:basedOn w:val="Normal"/>
    <w:next w:val="Normal"/>
    <w:autoRedefine/>
    <w:uiPriority w:val="37"/>
    <w:semiHidden/>
    <w:qFormat/>
    <w:rsid w:val="00461B41"/>
    <w:pPr>
      <w:ind w:firstLineChars="0" w:firstLine="0"/>
    </w:pPr>
    <w:rPr>
      <w:rFonts w:ascii="Calibri" w:eastAsia="宋体" w:hAnsi="Calibri" w:cs="Arial"/>
      <w:szCs w:val="22"/>
    </w:rPr>
  </w:style>
  <w:style w:type="character" w:customStyle="1" w:styleId="EndNoteBibliographyTitle">
    <w:name w:val="EndNote Bibliography Title 字符"/>
    <w:basedOn w:val="DefaultParagraphFont"/>
    <w:link w:val="EndNoteBibliographyTitle0"/>
    <w:autoRedefine/>
    <w:semiHidden/>
    <w:qFormat/>
    <w:locked/>
    <w:rsid w:val="00461B41"/>
    <w:rPr>
      <w:rFonts w:ascii="Calibri" w:eastAsia="宋体" w:hAnsi="Calibri" w:cs="Calibri"/>
      <w:sz w:val="22"/>
      <w:szCs w:val="22"/>
    </w:rPr>
  </w:style>
  <w:style w:type="paragraph" w:customStyle="1" w:styleId="EndNoteBibliographyTitle0">
    <w:name w:val="EndNote Bibliography Title"/>
    <w:basedOn w:val="Normal"/>
    <w:link w:val="EndNoteBibliographyTitle"/>
    <w:autoRedefine/>
    <w:semiHidden/>
    <w:qFormat/>
    <w:rsid w:val="00461B41"/>
    <w:pPr>
      <w:ind w:firstLineChars="0" w:firstLine="0"/>
      <w:jc w:val="center"/>
    </w:pPr>
    <w:rPr>
      <w:rFonts w:ascii="Calibri" w:eastAsia="宋体" w:hAnsi="Calibri" w:cs="Calibri"/>
      <w:sz w:val="22"/>
      <w:szCs w:val="22"/>
    </w:rPr>
  </w:style>
  <w:style w:type="character" w:customStyle="1" w:styleId="EndNoteBibliography">
    <w:name w:val="EndNote Bibliography 字符"/>
    <w:basedOn w:val="DefaultParagraphFont"/>
    <w:link w:val="EndNoteBibliography0"/>
    <w:autoRedefine/>
    <w:semiHidden/>
    <w:qFormat/>
    <w:locked/>
    <w:rsid w:val="00461B41"/>
    <w:rPr>
      <w:rFonts w:ascii="Calibri" w:eastAsia="宋体" w:hAnsi="Calibri" w:cs="Calibri"/>
      <w:sz w:val="22"/>
      <w:szCs w:val="22"/>
    </w:rPr>
  </w:style>
  <w:style w:type="paragraph" w:customStyle="1" w:styleId="EndNoteBibliography0">
    <w:name w:val="EndNote Bibliography"/>
    <w:basedOn w:val="Normal"/>
    <w:link w:val="EndNoteBibliography"/>
    <w:autoRedefine/>
    <w:semiHidden/>
    <w:qFormat/>
    <w:rsid w:val="00461B41"/>
    <w:pPr>
      <w:ind w:firstLineChars="0" w:firstLine="0"/>
    </w:pPr>
    <w:rPr>
      <w:rFonts w:ascii="Calibri" w:eastAsia="宋体" w:hAnsi="Calibri" w:cs="Calibri"/>
      <w:sz w:val="22"/>
      <w:szCs w:val="22"/>
    </w:rPr>
  </w:style>
  <w:style w:type="paragraph" w:customStyle="1" w:styleId="2">
    <w:name w:val="书目2"/>
    <w:basedOn w:val="Normal"/>
    <w:next w:val="Normal"/>
    <w:autoRedefine/>
    <w:uiPriority w:val="37"/>
    <w:semiHidden/>
    <w:qFormat/>
    <w:rsid w:val="00461B41"/>
    <w:pPr>
      <w:tabs>
        <w:tab w:val="left" w:pos="384"/>
      </w:tabs>
      <w:spacing w:after="240"/>
      <w:ind w:left="384" w:firstLineChars="0" w:hanging="384"/>
    </w:pPr>
    <w:rPr>
      <w:rFonts w:ascii="Calibri" w:eastAsia="宋体" w:hAnsi="Calibri" w:cs="Arial"/>
      <w:szCs w:val="22"/>
    </w:rPr>
  </w:style>
  <w:style w:type="paragraph" w:customStyle="1" w:styleId="10">
    <w:name w:val="列表段落1"/>
    <w:basedOn w:val="Normal"/>
    <w:autoRedefine/>
    <w:uiPriority w:val="99"/>
    <w:semiHidden/>
    <w:qFormat/>
    <w:rsid w:val="00461B41"/>
    <w:pPr>
      <w:autoSpaceDE w:val="0"/>
      <w:autoSpaceDN w:val="0"/>
      <w:spacing w:before="100" w:beforeAutospacing="1" w:after="100" w:afterAutospacing="1"/>
      <w:ind w:left="532" w:firstLineChars="0" w:hanging="313"/>
      <w:jc w:val="left"/>
    </w:pPr>
    <w:rPr>
      <w:rFonts w:ascii="Calibri" w:eastAsia="宋体" w:hAnsi="Calibri" w:cs="Calibri"/>
      <w:kern w:val="0"/>
      <w:sz w:val="22"/>
      <w:szCs w:val="22"/>
    </w:rPr>
  </w:style>
  <w:style w:type="paragraph" w:customStyle="1" w:styleId="11">
    <w:name w:val="正文1"/>
    <w:autoRedefine/>
    <w:uiPriority w:val="99"/>
    <w:semiHidden/>
    <w:qFormat/>
    <w:rsid w:val="00461B41"/>
    <w:pPr>
      <w:jc w:val="both"/>
    </w:pPr>
    <w:rPr>
      <w:rFonts w:ascii="DengXian" w:eastAsia="宋体" w:hAnsi="DengXian" w:cs="宋体"/>
    </w:rPr>
  </w:style>
  <w:style w:type="paragraph" w:customStyle="1" w:styleId="20">
    <w:name w:val="正文2"/>
    <w:autoRedefine/>
    <w:uiPriority w:val="99"/>
    <w:semiHidden/>
    <w:qFormat/>
    <w:rsid w:val="00461B41"/>
    <w:pPr>
      <w:jc w:val="both"/>
    </w:pPr>
    <w:rPr>
      <w:rFonts w:ascii="DengXian" w:eastAsia="宋体" w:hAnsi="DengXian" w:cs="宋体"/>
    </w:rPr>
  </w:style>
  <w:style w:type="paragraph" w:customStyle="1" w:styleId="font0">
    <w:name w:val="font0"/>
    <w:basedOn w:val="Normal"/>
    <w:autoRedefine/>
    <w:uiPriority w:val="99"/>
    <w:semiHidden/>
    <w:qFormat/>
    <w:rsid w:val="00461B41"/>
    <w:pPr>
      <w:widowControl/>
      <w:spacing w:before="100" w:beforeAutospacing="1" w:after="100" w:afterAutospacing="1"/>
      <w:ind w:firstLineChars="0" w:firstLine="0"/>
      <w:jc w:val="left"/>
    </w:pPr>
    <w:rPr>
      <w:rFonts w:ascii="DengXian" w:eastAsia="DengXian" w:hAnsi="DengXian" w:cs="宋体"/>
      <w:color w:val="000000"/>
      <w:kern w:val="0"/>
      <w:sz w:val="22"/>
      <w:szCs w:val="22"/>
    </w:rPr>
  </w:style>
  <w:style w:type="paragraph" w:customStyle="1" w:styleId="font1">
    <w:name w:val="font1"/>
    <w:basedOn w:val="Normal"/>
    <w:autoRedefine/>
    <w:uiPriority w:val="99"/>
    <w:semiHidden/>
    <w:qFormat/>
    <w:rsid w:val="00461B41"/>
    <w:pPr>
      <w:widowControl/>
      <w:spacing w:before="100" w:beforeAutospacing="1" w:after="100" w:afterAutospacing="1"/>
      <w:ind w:firstLineChars="0" w:firstLine="0"/>
      <w:jc w:val="left"/>
    </w:pPr>
    <w:rPr>
      <w:rFonts w:eastAsia="宋体" w:cs="Times New Roman"/>
      <w:color w:val="000000"/>
      <w:kern w:val="0"/>
    </w:rPr>
  </w:style>
  <w:style w:type="paragraph" w:customStyle="1" w:styleId="font2">
    <w:name w:val="font2"/>
    <w:basedOn w:val="Normal"/>
    <w:autoRedefine/>
    <w:uiPriority w:val="99"/>
    <w:semiHidden/>
    <w:qFormat/>
    <w:rsid w:val="00461B41"/>
    <w:pPr>
      <w:widowControl/>
      <w:spacing w:before="100" w:beforeAutospacing="1" w:after="100" w:afterAutospacing="1"/>
      <w:ind w:firstLineChars="0" w:firstLine="0"/>
      <w:jc w:val="left"/>
    </w:pPr>
    <w:rPr>
      <w:rFonts w:eastAsia="宋体" w:cs="Times New Roman"/>
      <w:i/>
      <w:iCs/>
      <w:color w:val="000000"/>
      <w:kern w:val="0"/>
    </w:rPr>
  </w:style>
  <w:style w:type="paragraph" w:customStyle="1" w:styleId="font3">
    <w:name w:val="font3"/>
    <w:basedOn w:val="Normal"/>
    <w:autoRedefine/>
    <w:uiPriority w:val="99"/>
    <w:semiHidden/>
    <w:qFormat/>
    <w:rsid w:val="00461B41"/>
    <w:pPr>
      <w:widowControl/>
      <w:spacing w:before="100" w:beforeAutospacing="1" w:after="100" w:afterAutospacing="1"/>
      <w:ind w:firstLineChars="0" w:firstLine="0"/>
      <w:jc w:val="left"/>
    </w:pPr>
    <w:rPr>
      <w:rFonts w:eastAsia="宋体" w:cs="Times New Roman"/>
      <w:color w:val="000000"/>
      <w:kern w:val="0"/>
      <w:sz w:val="12"/>
      <w:szCs w:val="12"/>
      <w:vertAlign w:val="subscript"/>
    </w:rPr>
  </w:style>
  <w:style w:type="paragraph" w:customStyle="1" w:styleId="font4">
    <w:name w:val="font4"/>
    <w:basedOn w:val="Normal"/>
    <w:autoRedefine/>
    <w:uiPriority w:val="99"/>
    <w:semiHidden/>
    <w:qFormat/>
    <w:rsid w:val="00461B41"/>
    <w:pPr>
      <w:widowControl/>
      <w:spacing w:before="100" w:beforeAutospacing="1" w:after="100" w:afterAutospacing="1"/>
      <w:ind w:firstLineChars="0" w:firstLine="0"/>
      <w:jc w:val="left"/>
    </w:pPr>
    <w:rPr>
      <w:rFonts w:eastAsia="宋体" w:cs="Times New Roman"/>
      <w:color w:val="000000"/>
      <w:kern w:val="0"/>
      <w:vertAlign w:val="subscript"/>
    </w:rPr>
  </w:style>
  <w:style w:type="paragraph" w:customStyle="1" w:styleId="font5">
    <w:name w:val="font5"/>
    <w:basedOn w:val="Normal"/>
    <w:autoRedefine/>
    <w:uiPriority w:val="99"/>
    <w:semiHidden/>
    <w:qFormat/>
    <w:rsid w:val="00461B41"/>
    <w:pPr>
      <w:widowControl/>
      <w:spacing w:before="100" w:beforeAutospacing="1" w:after="100" w:afterAutospacing="1"/>
      <w:ind w:firstLineChars="0" w:firstLine="0"/>
      <w:jc w:val="left"/>
    </w:pPr>
    <w:rPr>
      <w:rFonts w:eastAsia="宋体" w:cs="Times New Roman"/>
      <w:color w:val="000000"/>
      <w:kern w:val="0"/>
      <w:vertAlign w:val="superscript"/>
    </w:rPr>
  </w:style>
  <w:style w:type="paragraph" w:customStyle="1" w:styleId="et2">
    <w:name w:val="et2"/>
    <w:basedOn w:val="Normal"/>
    <w:autoRedefine/>
    <w:uiPriority w:val="99"/>
    <w:semiHidden/>
    <w:qFormat/>
    <w:rsid w:val="00461B41"/>
    <w:pPr>
      <w:widowControl/>
      <w:pBdr>
        <w:top w:val="single" w:sz="8" w:space="0" w:color="000000"/>
      </w:pBdr>
      <w:spacing w:before="100" w:beforeAutospacing="1" w:after="100" w:afterAutospacing="1"/>
      <w:ind w:firstLineChars="0" w:firstLine="0"/>
    </w:pPr>
    <w:rPr>
      <w:rFonts w:eastAsia="宋体" w:cs="Times New Roman"/>
      <w:color w:val="000000"/>
      <w:kern w:val="0"/>
    </w:rPr>
  </w:style>
  <w:style w:type="paragraph" w:customStyle="1" w:styleId="et3">
    <w:name w:val="et3"/>
    <w:basedOn w:val="Normal"/>
    <w:autoRedefine/>
    <w:uiPriority w:val="99"/>
    <w:semiHidden/>
    <w:qFormat/>
    <w:rsid w:val="00461B41"/>
    <w:pPr>
      <w:widowControl/>
      <w:pBdr>
        <w:bottom w:val="single" w:sz="8" w:space="0" w:color="000000"/>
      </w:pBdr>
      <w:spacing w:before="100" w:beforeAutospacing="1" w:after="100" w:afterAutospacing="1"/>
      <w:ind w:firstLineChars="0" w:firstLine="0"/>
    </w:pPr>
    <w:rPr>
      <w:rFonts w:eastAsia="宋体" w:cs="Times New Roman"/>
      <w:color w:val="000000"/>
      <w:kern w:val="0"/>
    </w:rPr>
  </w:style>
  <w:style w:type="paragraph" w:customStyle="1" w:styleId="et4">
    <w:name w:val="et4"/>
    <w:basedOn w:val="Normal"/>
    <w:autoRedefine/>
    <w:uiPriority w:val="99"/>
    <w:semiHidden/>
    <w:qFormat/>
    <w:rsid w:val="00461B41"/>
    <w:pPr>
      <w:widowControl/>
      <w:spacing w:before="100" w:beforeAutospacing="1" w:after="100" w:afterAutospacing="1"/>
      <w:ind w:firstLineChars="0" w:firstLine="0"/>
    </w:pPr>
    <w:rPr>
      <w:rFonts w:eastAsia="宋体" w:cs="Times New Roman"/>
      <w:color w:val="000000"/>
      <w:kern w:val="0"/>
    </w:rPr>
  </w:style>
  <w:style w:type="paragraph" w:customStyle="1" w:styleId="et5">
    <w:name w:val="et5"/>
    <w:basedOn w:val="Normal"/>
    <w:autoRedefine/>
    <w:uiPriority w:val="99"/>
    <w:semiHidden/>
    <w:qFormat/>
    <w:rsid w:val="00461B41"/>
    <w:pPr>
      <w:widowControl/>
      <w:pBdr>
        <w:bottom w:val="single" w:sz="8" w:space="0" w:color="000000"/>
      </w:pBdr>
      <w:spacing w:before="100" w:beforeAutospacing="1" w:after="100" w:afterAutospacing="1"/>
      <w:ind w:firstLineChars="0" w:firstLine="0"/>
    </w:pPr>
    <w:rPr>
      <w:rFonts w:eastAsia="宋体" w:cs="Times New Roman"/>
      <w:color w:val="000000"/>
      <w:kern w:val="0"/>
    </w:rPr>
  </w:style>
  <w:style w:type="paragraph" w:customStyle="1" w:styleId="et6">
    <w:name w:val="et6"/>
    <w:basedOn w:val="Normal"/>
    <w:autoRedefine/>
    <w:uiPriority w:val="99"/>
    <w:semiHidden/>
    <w:qFormat/>
    <w:rsid w:val="00461B41"/>
    <w:pPr>
      <w:widowControl/>
      <w:pBdr>
        <w:top w:val="single" w:sz="8" w:space="0" w:color="000000"/>
      </w:pBdr>
      <w:spacing w:before="100" w:beforeAutospacing="1" w:after="100" w:afterAutospacing="1"/>
      <w:ind w:firstLineChars="0" w:firstLine="0"/>
    </w:pPr>
    <w:rPr>
      <w:rFonts w:eastAsia="宋体" w:cs="Times New Roman"/>
      <w:i/>
      <w:iCs/>
      <w:color w:val="000000"/>
      <w:kern w:val="0"/>
    </w:rPr>
  </w:style>
  <w:style w:type="paragraph" w:customStyle="1" w:styleId="et7">
    <w:name w:val="et7"/>
    <w:basedOn w:val="Normal"/>
    <w:autoRedefine/>
    <w:uiPriority w:val="99"/>
    <w:semiHidden/>
    <w:qFormat/>
    <w:rsid w:val="00461B41"/>
    <w:pPr>
      <w:widowControl/>
      <w:pBdr>
        <w:top w:val="single" w:sz="8" w:space="0" w:color="000000"/>
        <w:bottom w:val="single" w:sz="8" w:space="0" w:color="000000"/>
      </w:pBdr>
      <w:spacing w:before="100" w:beforeAutospacing="1" w:after="100" w:afterAutospacing="1"/>
      <w:ind w:firstLineChars="0" w:firstLine="0"/>
    </w:pPr>
    <w:rPr>
      <w:rFonts w:eastAsia="宋体" w:cs="Times New Roman"/>
      <w:color w:val="000000"/>
      <w:kern w:val="0"/>
    </w:rPr>
  </w:style>
  <w:style w:type="paragraph" w:customStyle="1" w:styleId="et8">
    <w:name w:val="et8"/>
    <w:basedOn w:val="Normal"/>
    <w:autoRedefine/>
    <w:uiPriority w:val="99"/>
    <w:semiHidden/>
    <w:qFormat/>
    <w:rsid w:val="00461B41"/>
    <w:pPr>
      <w:widowControl/>
      <w:pBdr>
        <w:bottom w:val="single" w:sz="8" w:space="0" w:color="000000"/>
      </w:pBdr>
      <w:spacing w:before="100" w:beforeAutospacing="1" w:after="100" w:afterAutospacing="1"/>
      <w:ind w:firstLineChars="0" w:firstLine="0"/>
    </w:pPr>
    <w:rPr>
      <w:rFonts w:eastAsia="宋体" w:cs="Times New Roman"/>
      <w:i/>
      <w:iCs/>
      <w:color w:val="000000"/>
      <w:kern w:val="0"/>
    </w:rPr>
  </w:style>
  <w:style w:type="paragraph" w:customStyle="1" w:styleId="et9">
    <w:name w:val="et9"/>
    <w:basedOn w:val="Normal"/>
    <w:autoRedefine/>
    <w:uiPriority w:val="99"/>
    <w:semiHidden/>
    <w:qFormat/>
    <w:rsid w:val="00461B41"/>
    <w:pPr>
      <w:widowControl/>
      <w:spacing w:before="100" w:beforeAutospacing="1" w:after="100" w:afterAutospacing="1"/>
      <w:ind w:firstLineChars="0" w:firstLine="0"/>
    </w:pPr>
    <w:rPr>
      <w:rFonts w:eastAsia="宋体" w:cs="Times New Roman"/>
      <w:color w:val="000000"/>
      <w:kern w:val="0"/>
    </w:rPr>
  </w:style>
  <w:style w:type="paragraph" w:customStyle="1" w:styleId="et10">
    <w:name w:val="et10"/>
    <w:basedOn w:val="Normal"/>
    <w:autoRedefine/>
    <w:uiPriority w:val="99"/>
    <w:semiHidden/>
    <w:qFormat/>
    <w:rsid w:val="00461B41"/>
    <w:pPr>
      <w:widowControl/>
      <w:pBdr>
        <w:bottom w:val="single" w:sz="8" w:space="0" w:color="000000"/>
      </w:pBdr>
      <w:spacing w:before="100" w:beforeAutospacing="1" w:after="100" w:afterAutospacing="1"/>
      <w:ind w:firstLineChars="0" w:firstLine="0"/>
    </w:pPr>
    <w:rPr>
      <w:rFonts w:eastAsia="宋体" w:cs="Times New Roman"/>
      <w:color w:val="000000"/>
      <w:kern w:val="0"/>
    </w:rPr>
  </w:style>
  <w:style w:type="paragraph" w:customStyle="1" w:styleId="style1">
    <w:name w:val="style1"/>
    <w:basedOn w:val="Normal"/>
    <w:autoRedefine/>
    <w:uiPriority w:val="99"/>
    <w:semiHidden/>
    <w:qFormat/>
    <w:rsid w:val="00461B41"/>
    <w:pPr>
      <w:widowControl/>
      <w:spacing w:before="100" w:beforeAutospacing="1" w:after="100" w:afterAutospacing="1"/>
      <w:ind w:firstLineChars="0" w:firstLine="0"/>
      <w:jc w:val="left"/>
    </w:pPr>
    <w:rPr>
      <w:rFonts w:ascii="Verdana" w:eastAsia="宋体" w:hAnsi="Verdana" w:cs="Times New Roman"/>
      <w:kern w:val="0"/>
      <w:lang w:eastAsia="en-US"/>
    </w:rPr>
  </w:style>
  <w:style w:type="paragraph" w:customStyle="1" w:styleId="Heading21">
    <w:name w:val="Heading 21"/>
    <w:basedOn w:val="Normal"/>
    <w:next w:val="Normal"/>
    <w:autoRedefine/>
    <w:uiPriority w:val="9"/>
    <w:semiHidden/>
    <w:qFormat/>
    <w:rsid w:val="00461B41"/>
    <w:pPr>
      <w:keepNext/>
      <w:keepLines/>
      <w:spacing w:before="260" w:after="260" w:line="415" w:lineRule="auto"/>
      <w:ind w:firstLineChars="0" w:firstLine="0"/>
      <w:jc w:val="center"/>
      <w:outlineLvl w:val="1"/>
    </w:pPr>
    <w:rPr>
      <w:rFonts w:ascii="Cambria" w:eastAsia="宋体" w:hAnsi="Cambria" w:cs="Times New Roman"/>
      <w:b/>
      <w:bCs/>
      <w:sz w:val="32"/>
      <w:szCs w:val="32"/>
    </w:rPr>
  </w:style>
  <w:style w:type="character" w:styleId="FootnoteReference">
    <w:name w:val="footnote reference"/>
    <w:basedOn w:val="DefaultParagraphFont"/>
    <w:autoRedefine/>
    <w:uiPriority w:val="99"/>
    <w:semiHidden/>
    <w:unhideWhenUsed/>
    <w:qFormat/>
    <w:rsid w:val="00461B41"/>
    <w:rPr>
      <w:vertAlign w:val="superscript"/>
    </w:rPr>
  </w:style>
  <w:style w:type="character" w:styleId="EndnoteReference">
    <w:name w:val="endnote reference"/>
    <w:basedOn w:val="DefaultParagraphFont"/>
    <w:autoRedefine/>
    <w:uiPriority w:val="99"/>
    <w:semiHidden/>
    <w:unhideWhenUsed/>
    <w:qFormat/>
    <w:rsid w:val="00461B41"/>
    <w:rPr>
      <w:vertAlign w:val="superscript"/>
    </w:rPr>
  </w:style>
  <w:style w:type="character" w:customStyle="1" w:styleId="15">
    <w:name w:val="15"/>
    <w:autoRedefine/>
    <w:qFormat/>
    <w:rsid w:val="00461B41"/>
    <w:rPr>
      <w:rFonts w:ascii="Times New Roman" w:eastAsia="宋体" w:hAnsi="Times New Roman" w:cs="Times New Roman" w:hint="default"/>
      <w:i/>
      <w:iCs w:val="0"/>
    </w:rPr>
  </w:style>
  <w:style w:type="character" w:customStyle="1" w:styleId="orth">
    <w:name w:val="orth"/>
    <w:basedOn w:val="DefaultParagraphFont"/>
    <w:autoRedefine/>
    <w:qFormat/>
    <w:rsid w:val="00461B41"/>
  </w:style>
  <w:style w:type="character" w:customStyle="1" w:styleId="12">
    <w:name w:val="未处理的提及1"/>
    <w:basedOn w:val="DefaultParagraphFont"/>
    <w:autoRedefine/>
    <w:uiPriority w:val="99"/>
    <w:semiHidden/>
    <w:qFormat/>
    <w:rsid w:val="00461B41"/>
    <w:rPr>
      <w:color w:val="605E5C"/>
      <w:shd w:val="clear" w:color="auto" w:fill="E1DFDD"/>
    </w:rPr>
  </w:style>
  <w:style w:type="character" w:customStyle="1" w:styleId="21">
    <w:name w:val="未处理的提及2"/>
    <w:basedOn w:val="DefaultParagraphFont"/>
    <w:autoRedefine/>
    <w:uiPriority w:val="99"/>
    <w:semiHidden/>
    <w:qFormat/>
    <w:rsid w:val="00461B41"/>
    <w:rPr>
      <w:color w:val="605E5C"/>
      <w:shd w:val="clear" w:color="auto" w:fill="E1DFDD"/>
    </w:rPr>
  </w:style>
  <w:style w:type="character" w:customStyle="1" w:styleId="3">
    <w:name w:val="未处理的提及3"/>
    <w:basedOn w:val="DefaultParagraphFont"/>
    <w:autoRedefine/>
    <w:uiPriority w:val="99"/>
    <w:semiHidden/>
    <w:qFormat/>
    <w:rsid w:val="00461B41"/>
    <w:rPr>
      <w:color w:val="605E5C"/>
      <w:shd w:val="clear" w:color="auto" w:fill="E1DFDD"/>
    </w:rPr>
  </w:style>
  <w:style w:type="character" w:customStyle="1" w:styleId="content-right8zs40">
    <w:name w:val="content-right_8zs40"/>
    <w:basedOn w:val="DefaultParagraphFont"/>
    <w:autoRedefine/>
    <w:qFormat/>
    <w:rsid w:val="00461B41"/>
  </w:style>
  <w:style w:type="character" w:customStyle="1" w:styleId="tag">
    <w:name w:val="tag"/>
    <w:basedOn w:val="DefaultParagraphFont"/>
    <w:autoRedefine/>
    <w:qFormat/>
    <w:rsid w:val="00461B41"/>
  </w:style>
  <w:style w:type="character" w:customStyle="1" w:styleId="font11">
    <w:name w:val="font11"/>
    <w:basedOn w:val="DefaultParagraphFont"/>
    <w:autoRedefine/>
    <w:qFormat/>
    <w:rsid w:val="00461B41"/>
    <w:rPr>
      <w:rFonts w:ascii="Times New Roman" w:hAnsi="Times New Roman" w:cs="Times New Roman" w:hint="default"/>
      <w:strike w:val="0"/>
      <w:dstrike w:val="0"/>
      <w:color w:val="000000"/>
      <w:sz w:val="21"/>
      <w:szCs w:val="21"/>
      <w:u w:val="none"/>
      <w:effect w:val="none"/>
    </w:rPr>
  </w:style>
  <w:style w:type="character" w:customStyle="1" w:styleId="font31">
    <w:name w:val="font31"/>
    <w:basedOn w:val="DefaultParagraphFont"/>
    <w:autoRedefine/>
    <w:qFormat/>
    <w:rsid w:val="00461B41"/>
    <w:rPr>
      <w:rFonts w:ascii="Times New Roman" w:hAnsi="Times New Roman" w:cs="Times New Roman" w:hint="default"/>
      <w:strike w:val="0"/>
      <w:dstrike w:val="0"/>
      <w:color w:val="000000"/>
      <w:sz w:val="12"/>
      <w:szCs w:val="12"/>
      <w:u w:val="none"/>
      <w:effect w:val="none"/>
      <w:vertAlign w:val="subscript"/>
    </w:rPr>
  </w:style>
  <w:style w:type="character" w:customStyle="1" w:styleId="font21">
    <w:name w:val="font21"/>
    <w:basedOn w:val="DefaultParagraphFont"/>
    <w:autoRedefine/>
    <w:qFormat/>
    <w:rsid w:val="00461B41"/>
    <w:rPr>
      <w:rFonts w:ascii="Times New Roman" w:hAnsi="Times New Roman" w:cs="Times New Roman" w:hint="default"/>
      <w:i/>
      <w:iCs/>
      <w:strike w:val="0"/>
      <w:dstrike w:val="0"/>
      <w:color w:val="000000"/>
      <w:sz w:val="21"/>
      <w:szCs w:val="21"/>
      <w:u w:val="none"/>
      <w:effect w:val="none"/>
    </w:rPr>
  </w:style>
  <w:style w:type="character" w:customStyle="1" w:styleId="font41">
    <w:name w:val="font41"/>
    <w:basedOn w:val="DefaultParagraphFont"/>
    <w:autoRedefine/>
    <w:qFormat/>
    <w:rsid w:val="00461B41"/>
    <w:rPr>
      <w:rFonts w:ascii="Times New Roman" w:hAnsi="Times New Roman" w:cs="Times New Roman" w:hint="default"/>
      <w:strike w:val="0"/>
      <w:dstrike w:val="0"/>
      <w:color w:val="000000"/>
      <w:sz w:val="21"/>
      <w:szCs w:val="21"/>
      <w:u w:val="none"/>
      <w:effect w:val="none"/>
      <w:vertAlign w:val="subscript"/>
    </w:rPr>
  </w:style>
  <w:style w:type="character" w:customStyle="1" w:styleId="font51">
    <w:name w:val="font51"/>
    <w:basedOn w:val="DefaultParagraphFont"/>
    <w:autoRedefine/>
    <w:qFormat/>
    <w:rsid w:val="00461B41"/>
    <w:rPr>
      <w:rFonts w:ascii="Times New Roman" w:hAnsi="Times New Roman" w:cs="Times New Roman" w:hint="default"/>
      <w:strike w:val="0"/>
      <w:dstrike w:val="0"/>
      <w:color w:val="000000"/>
      <w:sz w:val="21"/>
      <w:szCs w:val="21"/>
      <w:u w:val="none"/>
      <w:effect w:val="none"/>
      <w:vertAlign w:val="superscript"/>
    </w:rPr>
  </w:style>
  <w:style w:type="character" w:customStyle="1" w:styleId="EndNoteBibliographyChar">
    <w:name w:val="EndNote Bibliography Char"/>
    <w:basedOn w:val="DefaultParagraphFont"/>
    <w:autoRedefine/>
    <w:qFormat/>
    <w:rsid w:val="00461B41"/>
    <w:rPr>
      <w:rFonts w:ascii="Arial" w:hAnsi="Arial" w:cs="Arial" w:hint="default"/>
      <w:szCs w:val="24"/>
    </w:rPr>
  </w:style>
  <w:style w:type="character" w:customStyle="1" w:styleId="4">
    <w:name w:val="未处理的提及4"/>
    <w:basedOn w:val="DefaultParagraphFont"/>
    <w:autoRedefine/>
    <w:uiPriority w:val="99"/>
    <w:semiHidden/>
    <w:qFormat/>
    <w:rsid w:val="00461B41"/>
    <w:rPr>
      <w:color w:val="605E5C"/>
      <w:shd w:val="clear" w:color="auto" w:fill="E1DFDD"/>
    </w:rPr>
  </w:style>
  <w:style w:type="character" w:customStyle="1" w:styleId="authors-list-item">
    <w:name w:val="authors-list-item"/>
    <w:basedOn w:val="DefaultParagraphFont"/>
    <w:autoRedefine/>
    <w:qFormat/>
    <w:rsid w:val="00461B41"/>
  </w:style>
  <w:style w:type="character" w:customStyle="1" w:styleId="comma">
    <w:name w:val="comma"/>
    <w:basedOn w:val="DefaultParagraphFont"/>
    <w:autoRedefine/>
    <w:qFormat/>
    <w:rsid w:val="00461B41"/>
  </w:style>
  <w:style w:type="character" w:customStyle="1" w:styleId="author-sup-separator">
    <w:name w:val="author-sup-separator"/>
    <w:basedOn w:val="DefaultParagraphFont"/>
    <w:autoRedefine/>
    <w:qFormat/>
    <w:rsid w:val="00461B41"/>
  </w:style>
  <w:style w:type="character" w:customStyle="1" w:styleId="UnresolvedMention1">
    <w:name w:val="Unresolved Mention1"/>
    <w:basedOn w:val="DefaultParagraphFont"/>
    <w:uiPriority w:val="99"/>
    <w:semiHidden/>
    <w:rsid w:val="00461B41"/>
    <w:rPr>
      <w:color w:val="605E5C"/>
      <w:shd w:val="clear" w:color="auto" w:fill="E1DFDD"/>
    </w:rPr>
  </w:style>
  <w:style w:type="character" w:customStyle="1" w:styleId="hgkelc">
    <w:name w:val="hgkelc"/>
    <w:basedOn w:val="DefaultParagraphFont"/>
    <w:rsid w:val="00461B41"/>
  </w:style>
  <w:style w:type="character" w:customStyle="1" w:styleId="Heading2Char1">
    <w:name w:val="Heading 2 Char1"/>
    <w:basedOn w:val="DefaultParagraphFont"/>
    <w:uiPriority w:val="9"/>
    <w:semiHidden/>
    <w:rsid w:val="00461B41"/>
    <w:rPr>
      <w:rFonts w:ascii="Cambria" w:eastAsia="宋体" w:hAnsi="Cambria" w:cs="Times New Roman" w:hint="default"/>
      <w:b/>
      <w:bCs/>
      <w:sz w:val="32"/>
      <w:szCs w:val="32"/>
    </w:rPr>
  </w:style>
  <w:style w:type="table" w:customStyle="1" w:styleId="TableGrid1">
    <w:name w:val="Table Grid1"/>
    <w:basedOn w:val="TableNormal"/>
    <w:next w:val="TableGrid"/>
    <w:uiPriority w:val="59"/>
    <w:rsid w:val="00461B41"/>
    <w:pPr>
      <w:spacing w:line="260" w:lineRule="atLeast"/>
      <w:jc w:val="both"/>
    </w:pPr>
    <w:rPr>
      <w:rFonts w:ascii="Palatino Linotype" w:eastAsia="宋体" w:hAnsi="Palatino Linotype" w:cs="Times New Roman"/>
      <w:color w:val="000000"/>
      <w:kern w:val="0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TableNormal"/>
    <w:uiPriority w:val="59"/>
    <w:rsid w:val="00461B41"/>
    <w:rPr>
      <w:rFonts w:ascii="DengXian" w:eastAsia="DengXian" w:hAnsi="DengXian" w:cs="Times New Roman"/>
      <w:kern w:val="0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638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64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2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62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1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111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344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27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11CE56-80DB-41ED-8431-D840E33403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6</Pages>
  <Words>1222</Words>
  <Characters>7184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cheryl</dc:creator>
  <cp:keywords/>
  <dc:description/>
  <cp:lastModifiedBy>User</cp:lastModifiedBy>
  <cp:revision>6</cp:revision>
  <cp:lastPrinted>2025-07-09T10:26:00Z</cp:lastPrinted>
  <dcterms:created xsi:type="dcterms:W3CDTF">2025-07-10T04:47:00Z</dcterms:created>
  <dcterms:modified xsi:type="dcterms:W3CDTF">2025-07-10T16:20:00Z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b3e61fb4-f96d-4211-a5fe-1602850ad02a</vt:lpwstr>
  </property>
</Properties>
</file>